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E5" w:rsidRDefault="009D6722" w:rsidP="0091176F">
      <w:pPr>
        <w:tabs>
          <w:tab w:val="left" w:pos="2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253FA5" wp14:editId="13077210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121410" cy="1350010"/>
                <wp:effectExtent l="0" t="1905" r="2540" b="635"/>
                <wp:wrapTight wrapText="bothSides">
                  <wp:wrapPolygon edited="0">
                    <wp:start x="-183" y="0"/>
                    <wp:lineTo x="-183" y="21448"/>
                    <wp:lineTo x="21600" y="21448"/>
                    <wp:lineTo x="21600" y="0"/>
                    <wp:lineTo x="-183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6F" w:rsidRDefault="009D67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07265" wp14:editId="79014842">
                                  <wp:extent cx="939800" cy="1257300"/>
                                  <wp:effectExtent l="0" t="0" r="0" b="0"/>
                                  <wp:docPr id="2" name="Picture 2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.9pt;width:88.3pt;height:106.3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" stroked="f" strokeweight="0">
                <v:textbox style="mso-fit-shape-to-text:t">
                  <w:txbxContent>
                    <w:p w:rsidR="0091176F" w:rsidRDefault="009D67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107265" wp14:editId="79014842">
                            <wp:extent cx="939800" cy="1257300"/>
                            <wp:effectExtent l="0" t="0" r="0" b="0"/>
                            <wp:docPr id="2" name="Picture 2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Pr="009142E5" w:rsidRDefault="0091176F" w:rsidP="0091176F">
      <w:pPr>
        <w:tabs>
          <w:tab w:val="left" w:pos="2160"/>
        </w:tabs>
        <w:jc w:val="right"/>
        <w:rPr>
          <w:rFonts w:cs="Arial"/>
          <w:bCs/>
        </w:rPr>
      </w:pPr>
    </w:p>
    <w:p w:rsidR="009142E5" w:rsidRPr="0091176F" w:rsidRDefault="009142E5" w:rsidP="005D4C4D">
      <w:pPr>
        <w:tabs>
          <w:tab w:val="left" w:pos="2160"/>
        </w:tabs>
        <w:rPr>
          <w:rFonts w:cs="Arial"/>
          <w:b/>
          <w:bCs/>
          <w:u w:val="single"/>
        </w:rPr>
      </w:pPr>
    </w:p>
    <w:p w:rsidR="009142E5" w:rsidRPr="009142E5" w:rsidRDefault="009142E5" w:rsidP="005D4C4D">
      <w:pPr>
        <w:tabs>
          <w:tab w:val="left" w:pos="2160"/>
        </w:tabs>
        <w:rPr>
          <w:rFonts w:cs="Arial"/>
          <w:bCs/>
        </w:rPr>
      </w:pP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>
        <w:rPr>
          <w:rFonts w:cs="Arial"/>
          <w:b/>
          <w:bCs/>
        </w:rPr>
        <w:tab/>
      </w:r>
      <w:r w:rsidR="00A32A7B">
        <w:rPr>
          <w:rFonts w:cs="Arial"/>
          <w:b/>
          <w:bCs/>
        </w:rPr>
        <w:t>Audit and Governance Committee</w:t>
      </w:r>
    </w:p>
    <w:p w:rsidR="005D4C4D" w:rsidRDefault="005D4C4D" w:rsidP="005D4C4D">
      <w:pPr>
        <w:rPr>
          <w:rFonts w:cs="Arial"/>
          <w:b/>
          <w:bCs/>
        </w:rPr>
      </w:pPr>
    </w:p>
    <w:p w:rsidR="00E21EE8" w:rsidRDefault="005D4C4D" w:rsidP="005D4C4D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 w:rsidR="00340E16">
        <w:rPr>
          <w:rFonts w:cs="Arial"/>
          <w:b/>
          <w:bCs/>
        </w:rPr>
        <w:t>0</w:t>
      </w:r>
      <w:r w:rsidR="00A125AF">
        <w:rPr>
          <w:rFonts w:cs="Arial"/>
          <w:b/>
          <w:bCs/>
        </w:rPr>
        <w:t>1 March</w:t>
      </w:r>
      <w:r w:rsidR="00D84446">
        <w:rPr>
          <w:rFonts w:cs="Arial"/>
          <w:b/>
          <w:bCs/>
        </w:rPr>
        <w:t xml:space="preserve"> </w:t>
      </w:r>
      <w:r w:rsidR="00266C36">
        <w:rPr>
          <w:rFonts w:cs="Arial"/>
          <w:b/>
          <w:bCs/>
        </w:rPr>
        <w:t>201</w:t>
      </w:r>
      <w:r w:rsidR="00340E16">
        <w:rPr>
          <w:rFonts w:cs="Arial"/>
          <w:b/>
          <w:bCs/>
        </w:rPr>
        <w:t>7</w:t>
      </w:r>
    </w:p>
    <w:p w:rsidR="005D4C4D" w:rsidRDefault="005D4C4D" w:rsidP="005D4C4D">
      <w:pPr>
        <w:jc w:val="right"/>
        <w:rPr>
          <w:rFonts w:cs="Arial"/>
          <w:b/>
          <w:bCs/>
        </w:rPr>
      </w:pPr>
    </w:p>
    <w:p w:rsidR="005D4C4D" w:rsidRDefault="005D4C4D" w:rsidP="005D4C4D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Head of Financ</w:t>
      </w:r>
      <w:r w:rsidR="00AF7455">
        <w:rPr>
          <w:rFonts w:cs="Arial"/>
          <w:b/>
          <w:bCs/>
        </w:rPr>
        <w:t>ial Services</w:t>
      </w: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</w:p>
    <w:p w:rsidR="005D4C4D" w:rsidRDefault="005D4C4D" w:rsidP="003B022E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 xml:space="preserve">Title of Report: </w:t>
      </w:r>
      <w:r>
        <w:rPr>
          <w:rFonts w:cs="Arial"/>
          <w:b/>
          <w:bCs/>
        </w:rPr>
        <w:tab/>
      </w:r>
      <w:r w:rsidR="0018188C">
        <w:rPr>
          <w:rFonts w:cs="Arial"/>
          <w:b/>
          <w:bCs/>
        </w:rPr>
        <w:t>Risk Management Quarterly Reporting</w:t>
      </w:r>
      <w:r w:rsidR="00A91CBA">
        <w:rPr>
          <w:rFonts w:cs="Arial"/>
          <w:b/>
          <w:bCs/>
        </w:rPr>
        <w:t xml:space="preserve">: Quarter </w:t>
      </w:r>
      <w:r w:rsidR="00340E16">
        <w:rPr>
          <w:rFonts w:cs="Arial"/>
          <w:b/>
          <w:bCs/>
        </w:rPr>
        <w:t>3</w:t>
      </w:r>
      <w:r w:rsidR="00A91CBA">
        <w:rPr>
          <w:rFonts w:cs="Arial"/>
          <w:b/>
          <w:bCs/>
        </w:rPr>
        <w:t xml:space="preserve"> 201</w:t>
      </w:r>
      <w:r w:rsidR="00266C36">
        <w:rPr>
          <w:rFonts w:cs="Arial"/>
          <w:b/>
          <w:bCs/>
        </w:rPr>
        <w:t>6</w:t>
      </w:r>
      <w:r w:rsidR="00A91CBA">
        <w:rPr>
          <w:rFonts w:cs="Arial"/>
          <w:b/>
          <w:bCs/>
        </w:rPr>
        <w:t>/1</w:t>
      </w:r>
      <w:r w:rsidR="00266C36">
        <w:rPr>
          <w:rFonts w:cs="Arial"/>
          <w:b/>
          <w:bCs/>
        </w:rPr>
        <w:t>7</w:t>
      </w:r>
    </w:p>
    <w:p w:rsidR="005D4C4D" w:rsidRDefault="005D4C4D" w:rsidP="005D4C4D">
      <w:pPr>
        <w:rPr>
          <w:rFonts w:cs="Arial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1A03" w:rsidRDefault="005D4C4D" w:rsidP="0098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rPr>
          <w:rFonts w:cs="Arial"/>
        </w:rPr>
      </w:pPr>
      <w:r>
        <w:rPr>
          <w:rFonts w:cs="Arial"/>
          <w:b/>
          <w:bCs/>
        </w:rPr>
        <w:t>Purpose of report</w:t>
      </w:r>
      <w:r w:rsidR="001D1A03">
        <w:rPr>
          <w:rFonts w:cs="Arial"/>
        </w:rPr>
        <w:t>:</w:t>
      </w:r>
      <w:r w:rsidR="00A32A7B">
        <w:rPr>
          <w:rFonts w:cs="Arial"/>
        </w:rPr>
        <w:tab/>
      </w:r>
      <w:r w:rsidR="00A91CBA" w:rsidRPr="00A91CBA">
        <w:rPr>
          <w:rFonts w:cs="Arial"/>
        </w:rPr>
        <w:t xml:space="preserve">To update the Committee on both corporate and service risks as at the end of Quarter </w:t>
      </w:r>
      <w:r w:rsidR="00340E16">
        <w:rPr>
          <w:rFonts w:cs="Arial"/>
        </w:rPr>
        <w:t>3</w:t>
      </w:r>
      <w:r w:rsidR="00A91CBA" w:rsidRPr="00A91CBA">
        <w:rPr>
          <w:rFonts w:cs="Arial"/>
        </w:rPr>
        <w:t xml:space="preserve">, </w:t>
      </w:r>
      <w:r w:rsidR="00266C36">
        <w:rPr>
          <w:rFonts w:cs="Arial"/>
        </w:rPr>
        <w:t>3</w:t>
      </w:r>
      <w:r w:rsidR="00340E16">
        <w:rPr>
          <w:rFonts w:cs="Arial"/>
        </w:rPr>
        <w:t>1</w:t>
      </w:r>
      <w:r w:rsidR="00266C36">
        <w:rPr>
          <w:rFonts w:cs="Arial"/>
        </w:rPr>
        <w:t xml:space="preserve"> </w:t>
      </w:r>
      <w:r w:rsidR="00340E16">
        <w:rPr>
          <w:rFonts w:cs="Arial"/>
        </w:rPr>
        <w:t>December</w:t>
      </w:r>
      <w:r w:rsidR="00C336E7">
        <w:rPr>
          <w:rFonts w:cs="Arial"/>
        </w:rPr>
        <w:t xml:space="preserve"> 2016</w:t>
      </w:r>
      <w:r w:rsidR="00266C36">
        <w:rPr>
          <w:rFonts w:cs="Arial"/>
        </w:rPr>
        <w:t>.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5D4C4D" w:rsidP="00A32A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bCs w:val="0"/>
        </w:rPr>
      </w:pPr>
      <w:r>
        <w:rPr>
          <w:bCs w:val="0"/>
        </w:rPr>
        <w:t>Key decision</w:t>
      </w:r>
      <w:r w:rsidR="00AC4B4B">
        <w:rPr>
          <w:bCs w:val="0"/>
        </w:rPr>
        <w:t>:</w:t>
      </w:r>
      <w:r w:rsidR="00A32A7B">
        <w:rPr>
          <w:bCs w:val="0"/>
        </w:rPr>
        <w:tab/>
      </w:r>
      <w:r w:rsidR="00DE11B2">
        <w:rPr>
          <w:bCs w:val="0"/>
        </w:rPr>
        <w:t>No</w:t>
      </w:r>
      <w:r>
        <w:rPr>
          <w:bCs w:val="0"/>
        </w:rPr>
        <w:t xml:space="preserve"> 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A32A7B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Executive lead member:</w:t>
      </w:r>
      <w:r>
        <w:rPr>
          <w:rFonts w:cs="Arial"/>
          <w:b/>
          <w:bCs/>
        </w:rPr>
        <w:tab/>
      </w:r>
      <w:r w:rsidR="00AC4B4B">
        <w:rPr>
          <w:rFonts w:cs="Arial"/>
          <w:b/>
          <w:bCs/>
        </w:rPr>
        <w:t>Councillor Ed Turner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4C4D" w:rsidRDefault="005D4C4D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Policy Framework:</w:t>
      </w:r>
      <w:r w:rsidR="00A32A7B">
        <w:rPr>
          <w:rFonts w:cs="Arial"/>
          <w:b/>
          <w:bCs/>
        </w:rPr>
        <w:tab/>
      </w:r>
      <w:r w:rsidR="00727ED1">
        <w:rPr>
          <w:rFonts w:cs="Arial"/>
          <w:b/>
          <w:bCs/>
        </w:rPr>
        <w:t xml:space="preserve">Efficient and </w:t>
      </w:r>
      <w:r w:rsidR="00CB0A60">
        <w:rPr>
          <w:rFonts w:cs="Arial"/>
          <w:b/>
          <w:bCs/>
        </w:rPr>
        <w:t>E</w:t>
      </w:r>
      <w:r w:rsidR="00727ED1">
        <w:rPr>
          <w:rFonts w:cs="Arial"/>
          <w:b/>
          <w:bCs/>
        </w:rPr>
        <w:t>ffective Council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029" w:rsidRDefault="000C5DA1" w:rsidP="00BD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Recommendation(s): </w:t>
      </w:r>
      <w:r w:rsidR="00760922">
        <w:rPr>
          <w:rFonts w:cs="Arial"/>
          <w:b/>
        </w:rPr>
        <w:t>That the Committee</w:t>
      </w:r>
      <w:r w:rsidR="001B33FC">
        <w:rPr>
          <w:rFonts w:cs="Arial"/>
          <w:b/>
        </w:rPr>
        <w:t xml:space="preserve"> n</w:t>
      </w:r>
      <w:r w:rsidR="00C336E7">
        <w:rPr>
          <w:rFonts w:cs="Arial"/>
          <w:b/>
        </w:rPr>
        <w:t>otes</w:t>
      </w:r>
      <w:r w:rsidR="008B29A7">
        <w:rPr>
          <w:rFonts w:cs="Arial"/>
          <w:b/>
        </w:rPr>
        <w:t xml:space="preserve"> the content of the report</w:t>
      </w:r>
    </w:p>
    <w:p w:rsidR="00507029" w:rsidRDefault="00507029" w:rsidP="00C3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48"/>
        </w:tabs>
        <w:rPr>
          <w:rFonts w:cs="Arial"/>
          <w:b/>
        </w:rPr>
      </w:pPr>
    </w:p>
    <w:p w:rsidR="008B29A7" w:rsidRPr="00A32A7B" w:rsidRDefault="008B29A7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520C82" w:rsidRPr="00520C82" w:rsidRDefault="00520C82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048"/>
        </w:tabs>
        <w:rPr>
          <w:rFonts w:cs="Arial"/>
        </w:rPr>
      </w:pPr>
    </w:p>
    <w:p w:rsidR="00A32A7B" w:rsidRDefault="00A32A7B" w:rsidP="005D4C4D">
      <w:pPr>
        <w:rPr>
          <w:rFonts w:cs="Arial"/>
          <w:b/>
        </w:rPr>
      </w:pPr>
    </w:p>
    <w:p w:rsidR="007E1B08" w:rsidRDefault="00AE0538" w:rsidP="005D4C4D">
      <w:pPr>
        <w:rPr>
          <w:rFonts w:cs="Arial"/>
          <w:b/>
        </w:rPr>
      </w:pPr>
      <w:r w:rsidRPr="00AE0538">
        <w:rPr>
          <w:rFonts w:cs="Arial"/>
          <w:b/>
        </w:rPr>
        <w:t>Appendices</w:t>
      </w:r>
      <w:r w:rsidR="00EF0FA5">
        <w:rPr>
          <w:rFonts w:cs="Arial"/>
          <w:b/>
        </w:rPr>
        <w:t>:</w:t>
      </w:r>
    </w:p>
    <w:p w:rsidR="00EF0FA5" w:rsidRPr="00AE0538" w:rsidRDefault="00EF0FA5" w:rsidP="005D4C4D">
      <w:pPr>
        <w:rPr>
          <w:rFonts w:cs="Arial"/>
          <w:b/>
        </w:rPr>
      </w:pPr>
    </w:p>
    <w:p w:rsidR="00335660" w:rsidRDefault="0018188C" w:rsidP="005D4C4D">
      <w:pPr>
        <w:rPr>
          <w:rFonts w:cs="Arial"/>
          <w:b/>
        </w:rPr>
      </w:pPr>
      <w:r>
        <w:rPr>
          <w:rFonts w:cs="Arial"/>
          <w:b/>
        </w:rPr>
        <w:t>Appendix A</w:t>
      </w:r>
      <w:r>
        <w:rPr>
          <w:rFonts w:cs="Arial"/>
          <w:b/>
        </w:rPr>
        <w:tab/>
        <w:t>Corporate Risk Register</w:t>
      </w:r>
    </w:p>
    <w:p w:rsidR="002D02EC" w:rsidRDefault="002D02EC" w:rsidP="005D4C4D">
      <w:pPr>
        <w:rPr>
          <w:rFonts w:cs="Arial"/>
        </w:rPr>
      </w:pPr>
    </w:p>
    <w:p w:rsidR="002D3856" w:rsidRDefault="002D3856" w:rsidP="002D3856">
      <w:pPr>
        <w:rPr>
          <w:rFonts w:cs="Arial"/>
        </w:rPr>
      </w:pPr>
    </w:p>
    <w:p w:rsidR="00C346DC" w:rsidRDefault="00C346D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E0538" w:rsidRDefault="00A91CBA" w:rsidP="002D3856">
      <w:pPr>
        <w:rPr>
          <w:rFonts w:cs="Arial"/>
          <w:b/>
        </w:rPr>
      </w:pPr>
      <w:r>
        <w:rPr>
          <w:rFonts w:cs="Arial"/>
          <w:b/>
        </w:rPr>
        <w:lastRenderedPageBreak/>
        <w:t>Risk Scoring Matrix</w:t>
      </w:r>
    </w:p>
    <w:p w:rsidR="00AE0538" w:rsidRDefault="00AE0538" w:rsidP="002D3856">
      <w:pPr>
        <w:rPr>
          <w:rFonts w:cs="Arial"/>
        </w:rPr>
      </w:pPr>
    </w:p>
    <w:p w:rsidR="00B73F00" w:rsidRPr="00676B7F" w:rsidRDefault="00A91CBA" w:rsidP="00676B7F">
      <w:pPr>
        <w:numPr>
          <w:ilvl w:val="0"/>
          <w:numId w:val="1"/>
        </w:numPr>
        <w:ind w:left="426" w:hanging="426"/>
        <w:rPr>
          <w:rFonts w:cs="Arial"/>
        </w:rPr>
      </w:pPr>
      <w:r w:rsidRPr="00676B7F">
        <w:rPr>
          <w:rFonts w:cs="Arial"/>
        </w:rPr>
        <w:t>The Council operates a ‘five by five’ scoring matrix.  The methodology for scoring risks is set out below along with a copy of the scoring matrix or ‘heat map’.</w:t>
      </w:r>
    </w:p>
    <w:p w:rsidR="00A32A7B" w:rsidRDefault="00A32A7B" w:rsidP="00A32A7B">
      <w:pPr>
        <w:ind w:left="426"/>
        <w:rPr>
          <w:rFonts w:cs="Arial"/>
        </w:rPr>
      </w:pPr>
    </w:p>
    <w:p w:rsidR="00A32A7B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</w:rPr>
        <w:t xml:space="preserve">It is possible to get the same score but end up with a different result in the heat map. For example if the probability of an event occurring is high but the impact is low it is likely to have a lower </w:t>
      </w:r>
      <w:r>
        <w:rPr>
          <w:rFonts w:cs="Arial"/>
        </w:rPr>
        <w:t>rating</w:t>
      </w:r>
      <w:r w:rsidRPr="00A91CBA">
        <w:rPr>
          <w:rFonts w:cs="Arial"/>
        </w:rPr>
        <w:t xml:space="preserve"> on the heat map. However, the higher the potential impact score the more likely the event will be classed as a red risk on the matrix.</w:t>
      </w:r>
    </w:p>
    <w:p w:rsidR="002D02EC" w:rsidRDefault="002D02EC" w:rsidP="002D02EC">
      <w:pPr>
        <w:pStyle w:val="ListParagraph"/>
        <w:rPr>
          <w:rFonts w:cs="Arial"/>
        </w:rPr>
      </w:pPr>
    </w:p>
    <w:p w:rsidR="00676B7F" w:rsidRPr="002D02EC" w:rsidRDefault="00612AFA" w:rsidP="00676B7F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 xml:space="preserve">A </w:t>
      </w:r>
      <w:r w:rsidR="00C336E7">
        <w:rPr>
          <w:rFonts w:cs="Arial"/>
        </w:rPr>
        <w:t>change</w:t>
      </w:r>
      <w:r w:rsidR="002D02EC" w:rsidRPr="002D02EC">
        <w:rPr>
          <w:rFonts w:cs="Arial"/>
        </w:rPr>
        <w:t xml:space="preserve"> to the risk prioritisation matrix </w:t>
      </w:r>
      <w:r w:rsidR="002D02EC" w:rsidRPr="00D84446">
        <w:rPr>
          <w:rFonts w:cs="Arial"/>
        </w:rPr>
        <w:t>w</w:t>
      </w:r>
      <w:r w:rsidR="00D84446" w:rsidRPr="00D84446">
        <w:rPr>
          <w:rFonts w:cs="Arial"/>
        </w:rPr>
        <w:t xml:space="preserve">as approved by the Committee </w:t>
      </w:r>
      <w:r>
        <w:rPr>
          <w:rFonts w:cs="Arial"/>
        </w:rPr>
        <w:t xml:space="preserve">on </w:t>
      </w:r>
      <w:r w:rsidR="00E25EA4">
        <w:rPr>
          <w:rFonts w:cs="Arial"/>
        </w:rPr>
        <w:t>28 September 2016</w:t>
      </w:r>
      <w:r>
        <w:rPr>
          <w:rFonts w:cs="Arial"/>
        </w:rPr>
        <w:t xml:space="preserve"> </w:t>
      </w:r>
      <w:r w:rsidR="00D84446" w:rsidRPr="00D84446">
        <w:rPr>
          <w:rFonts w:cs="Arial"/>
        </w:rPr>
        <w:t xml:space="preserve">and the </w:t>
      </w:r>
      <w:r w:rsidR="00D84446">
        <w:rPr>
          <w:rFonts w:cs="Arial"/>
        </w:rPr>
        <w:t xml:space="preserve">new risk </w:t>
      </w:r>
      <w:r w:rsidR="00C336E7">
        <w:rPr>
          <w:rFonts w:cs="Arial"/>
        </w:rPr>
        <w:t xml:space="preserve">prioritisation </w:t>
      </w:r>
      <w:r w:rsidR="00C336E7" w:rsidRPr="002D02EC">
        <w:rPr>
          <w:rFonts w:cs="Arial"/>
        </w:rPr>
        <w:t>matrix</w:t>
      </w:r>
      <w:r w:rsidR="002D02EC" w:rsidRPr="002D02EC">
        <w:rPr>
          <w:rFonts w:cs="Arial"/>
        </w:rPr>
        <w:t xml:space="preserve"> is shown below. </w:t>
      </w:r>
    </w:p>
    <w:p w:rsidR="0032749E" w:rsidRDefault="0032749E" w:rsidP="0032749E">
      <w:pPr>
        <w:pStyle w:val="ListParagraph"/>
        <w:ind w:left="426"/>
        <w:rPr>
          <w:rFonts w:cs="Arial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1562"/>
        <w:gridCol w:w="1100"/>
        <w:gridCol w:w="1570"/>
        <w:gridCol w:w="1340"/>
        <w:gridCol w:w="1340"/>
        <w:gridCol w:w="1340"/>
        <w:gridCol w:w="1340"/>
      </w:tblGrid>
      <w:tr w:rsidR="00ED7504" w:rsidRPr="00ED7504" w:rsidTr="00ED7504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Probability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Almost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25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Certain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color w:val="000000"/>
                <w:lang w:eastAsia="en-GB"/>
              </w:rPr>
            </w:pPr>
          </w:p>
        </w:tc>
        <w:tc>
          <w:tcPr>
            <w:tcW w:w="157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Likely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20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Possible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Unlikely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10</w:t>
            </w:r>
          </w:p>
        </w:tc>
      </w:tr>
      <w:tr w:rsidR="00ED7504" w:rsidRPr="00ED7504" w:rsidTr="00ED7504">
        <w:trPr>
          <w:trHeight w:val="49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Rare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9845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ED7504" w:rsidRPr="00ED7504" w:rsidTr="00ED7504">
        <w:trPr>
          <w:trHeight w:val="31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lang w:eastAsia="en-GB"/>
              </w:rPr>
              <w:t>5</w:t>
            </w:r>
          </w:p>
        </w:tc>
      </w:tr>
      <w:tr w:rsidR="00ED7504" w:rsidRPr="00ED7504" w:rsidTr="00ED7504">
        <w:trPr>
          <w:trHeight w:val="30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cs="Arial"/>
                <w:color w:val="000000"/>
                <w:lang w:eastAsia="en-GB"/>
              </w:rPr>
            </w:pPr>
            <w:r w:rsidRPr="00ED750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Impact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Insignificant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Minor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Moderate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Major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504" w:rsidRPr="00ED7504" w:rsidRDefault="00ED7504" w:rsidP="00ED750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D7504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Severe</w:t>
            </w:r>
          </w:p>
        </w:tc>
      </w:tr>
    </w:tbl>
    <w:p w:rsidR="00ED7504" w:rsidRDefault="00ED7504" w:rsidP="0032749E">
      <w:pPr>
        <w:pStyle w:val="ListParagraph"/>
        <w:ind w:left="426"/>
        <w:rPr>
          <w:rFonts w:cs="Arial"/>
        </w:rPr>
      </w:pPr>
    </w:p>
    <w:p w:rsidR="00B5477F" w:rsidRDefault="00B5477F" w:rsidP="0032749E">
      <w:pPr>
        <w:pStyle w:val="ListParagraph"/>
        <w:ind w:left="426"/>
        <w:rPr>
          <w:rFonts w:cs="Arial"/>
        </w:rPr>
      </w:pPr>
    </w:p>
    <w:tbl>
      <w:tblPr>
        <w:tblW w:w="7868" w:type="dxa"/>
        <w:tblInd w:w="93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</w:tblGrid>
      <w:tr w:rsidR="00A91CBA" w:rsidRPr="00A91CBA" w:rsidTr="00AC6D86">
        <w:trPr>
          <w:trHeight w:val="28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A91CBA">
              <w:rPr>
                <w:rFonts w:cs="Arial"/>
                <w:b/>
                <w:bCs/>
                <w:color w:val="000000"/>
                <w:lang w:eastAsia="en-GB"/>
              </w:rPr>
              <w:t>Key: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Green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Amber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Red</w:t>
            </w:r>
          </w:p>
        </w:tc>
      </w:tr>
      <w:tr w:rsidR="00A91CBA" w:rsidRPr="00A91CBA" w:rsidTr="00AC6D86">
        <w:trPr>
          <w:trHeight w:val="272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BA" w:rsidRPr="00A91CBA" w:rsidRDefault="00A91CBA" w:rsidP="00A91C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000000" w:fill="00B05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VertStripe" w:color="000000" w:fill="FFC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FF0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</w:tr>
    </w:tbl>
    <w:p w:rsidR="00A91CBA" w:rsidRDefault="00A91CBA" w:rsidP="0032749E">
      <w:pPr>
        <w:pStyle w:val="ListParagraph"/>
        <w:ind w:left="426"/>
        <w:rPr>
          <w:rFonts w:cs="Arial"/>
        </w:rPr>
      </w:pPr>
    </w:p>
    <w:p w:rsidR="00A91CBA" w:rsidRDefault="00A91CBA" w:rsidP="00A91CBA">
      <w:pPr>
        <w:rPr>
          <w:rFonts w:cs="Arial"/>
          <w:b/>
        </w:rPr>
      </w:pPr>
      <w:r>
        <w:rPr>
          <w:rFonts w:cs="Arial"/>
          <w:b/>
        </w:rPr>
        <w:t xml:space="preserve">Risk </w:t>
      </w:r>
      <w:r w:rsidRPr="00A91CBA">
        <w:rPr>
          <w:rFonts w:cs="Arial"/>
          <w:b/>
        </w:rPr>
        <w:t>Identification</w:t>
      </w:r>
    </w:p>
    <w:p w:rsidR="00A91CBA" w:rsidRDefault="00A91CBA" w:rsidP="0032749E">
      <w:pPr>
        <w:pStyle w:val="ListParagraph"/>
        <w:ind w:left="426"/>
        <w:rPr>
          <w:rFonts w:cs="Arial"/>
        </w:rPr>
      </w:pPr>
    </w:p>
    <w:p w:rsidR="0032749E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Corporate Risks – </w:t>
      </w:r>
      <w:r w:rsidRPr="00A91CBA">
        <w:rPr>
          <w:rFonts w:cs="Arial"/>
        </w:rPr>
        <w:t xml:space="preserve">The Corporate Risk Register (CRR) is reviewed by the Corporate Management Team (CMT) on a quarterly basis, any new risks are incorporated into a revised version of the CRR.  Risk owners </w:t>
      </w:r>
      <w:r w:rsidR="00935203">
        <w:rPr>
          <w:rFonts w:cs="Arial"/>
        </w:rPr>
        <w:t>of</w:t>
      </w:r>
      <w:r w:rsidRPr="00A91CBA">
        <w:rPr>
          <w:rFonts w:cs="Arial"/>
        </w:rPr>
        <w:t xml:space="preserve"> corporate risks are generally Director</w:t>
      </w:r>
      <w:r w:rsidR="00935203">
        <w:rPr>
          <w:rFonts w:cs="Arial"/>
        </w:rPr>
        <w:t>s.</w:t>
      </w:r>
    </w:p>
    <w:p w:rsidR="00A91CBA" w:rsidRDefault="00A91CBA" w:rsidP="00A91CBA">
      <w:pPr>
        <w:ind w:left="426"/>
        <w:rPr>
          <w:rFonts w:cs="Arial"/>
        </w:rPr>
      </w:pPr>
    </w:p>
    <w:p w:rsidR="00A91CBA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Service Risks – </w:t>
      </w:r>
      <w:r w:rsidRPr="00A91CBA">
        <w:rPr>
          <w:rFonts w:cs="Arial"/>
        </w:rPr>
        <w:t xml:space="preserve">Service area risks are reviewed periodically by Heads of Service and Service Managers.  The Financial Accounting Manager has oversight of all risks and on a quarterly basis will review service risks to determine </w:t>
      </w:r>
      <w:r>
        <w:rPr>
          <w:rFonts w:cs="Arial"/>
        </w:rPr>
        <w:t>whether they should be considered f</w:t>
      </w:r>
      <w:r w:rsidRPr="00A91CBA">
        <w:rPr>
          <w:rFonts w:cs="Arial"/>
        </w:rPr>
        <w:t>or inclusion in the Corporate Risk Register.</w:t>
      </w:r>
    </w:p>
    <w:p w:rsidR="001135F8" w:rsidRDefault="001135F8" w:rsidP="001135F8">
      <w:pPr>
        <w:pStyle w:val="ListParagraph"/>
        <w:ind w:left="426"/>
        <w:rPr>
          <w:rFonts w:cs="Arial"/>
        </w:rPr>
      </w:pPr>
    </w:p>
    <w:p w:rsidR="00676B7F" w:rsidRPr="00676B7F" w:rsidRDefault="001135F8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676B7F">
        <w:rPr>
          <w:rFonts w:cs="Arial"/>
          <w:b/>
        </w:rPr>
        <w:t xml:space="preserve">Project and Programme Risk – </w:t>
      </w:r>
      <w:r w:rsidRPr="00676B7F">
        <w:rPr>
          <w:rFonts w:cs="Arial"/>
        </w:rPr>
        <w:t xml:space="preserve">The Council adopts the principles of Prince2 methodology for managing projects. Incorporated within this methodology is a robust process for the management of risk within a </w:t>
      </w:r>
      <w:r w:rsidRPr="00676B7F">
        <w:rPr>
          <w:rFonts w:cs="Arial"/>
        </w:rPr>
        <w:lastRenderedPageBreak/>
        <w:t>project environment.  Each project is managed by the Project Manager who controls and co-ordinates all aspects of the project through to conclusion.</w:t>
      </w:r>
    </w:p>
    <w:p w:rsidR="0032749E" w:rsidRDefault="0032749E" w:rsidP="0032749E">
      <w:pPr>
        <w:ind w:left="426"/>
        <w:rPr>
          <w:rFonts w:cs="Arial"/>
        </w:rPr>
      </w:pPr>
    </w:p>
    <w:p w:rsidR="00676B7F" w:rsidRDefault="001135F8" w:rsidP="0032749E">
      <w:pPr>
        <w:rPr>
          <w:rFonts w:cs="Arial"/>
          <w:b/>
        </w:rPr>
      </w:pPr>
      <w:r>
        <w:rPr>
          <w:rFonts w:cs="Arial"/>
          <w:b/>
        </w:rPr>
        <w:t xml:space="preserve">Quarter </w:t>
      </w:r>
      <w:r w:rsidR="00340E16">
        <w:rPr>
          <w:rFonts w:cs="Arial"/>
          <w:b/>
        </w:rPr>
        <w:t>3</w:t>
      </w:r>
      <w:r>
        <w:rPr>
          <w:rFonts w:cs="Arial"/>
          <w:b/>
        </w:rPr>
        <w:t xml:space="preserve"> Corporate Risk Register</w:t>
      </w:r>
    </w:p>
    <w:p w:rsidR="00676B7F" w:rsidRPr="00A32A7B" w:rsidRDefault="00676B7F" w:rsidP="0032749E">
      <w:pPr>
        <w:rPr>
          <w:rFonts w:cs="Arial"/>
        </w:rPr>
      </w:pPr>
    </w:p>
    <w:p w:rsidR="00B77C83" w:rsidRDefault="00B77C83" w:rsidP="00A32A7B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>The</w:t>
      </w:r>
      <w:r w:rsidR="00494C51">
        <w:rPr>
          <w:rFonts w:cs="Arial"/>
        </w:rPr>
        <w:t xml:space="preserve"> new C</w:t>
      </w:r>
      <w:r w:rsidR="001135F8" w:rsidRPr="001135F8">
        <w:rPr>
          <w:rFonts w:cs="Arial"/>
        </w:rPr>
        <w:t xml:space="preserve">orporate Risk Register </w:t>
      </w:r>
      <w:r w:rsidR="000A470B">
        <w:rPr>
          <w:rFonts w:cs="Arial"/>
        </w:rPr>
        <w:t xml:space="preserve">is attached at </w:t>
      </w:r>
      <w:r w:rsidR="001135F8" w:rsidRPr="001135F8">
        <w:rPr>
          <w:rFonts w:cs="Arial"/>
        </w:rPr>
        <w:t>Appendix A</w:t>
      </w:r>
      <w:r w:rsidR="000A470B">
        <w:rPr>
          <w:rFonts w:cs="Arial"/>
        </w:rPr>
        <w:t>.</w:t>
      </w:r>
    </w:p>
    <w:p w:rsidR="00494C51" w:rsidRDefault="000A470B" w:rsidP="00B77C83">
      <w:pPr>
        <w:rPr>
          <w:rFonts w:cs="Arial"/>
        </w:rPr>
      </w:pPr>
      <w:r>
        <w:rPr>
          <w:rFonts w:cs="Arial"/>
        </w:rPr>
        <w:t xml:space="preserve">  </w:t>
      </w:r>
    </w:p>
    <w:p w:rsidR="007607D5" w:rsidRDefault="00767EDD" w:rsidP="00231386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 xml:space="preserve">The number of red risks for Q3 has </w:t>
      </w:r>
      <w:r w:rsidR="0060084B">
        <w:rPr>
          <w:rFonts w:cs="Arial"/>
        </w:rPr>
        <w:t xml:space="preserve">remained at </w:t>
      </w:r>
      <w:r>
        <w:rPr>
          <w:rFonts w:cs="Arial"/>
        </w:rPr>
        <w:t>two</w:t>
      </w:r>
      <w:r w:rsidR="0060084B">
        <w:rPr>
          <w:rFonts w:cs="Arial"/>
        </w:rPr>
        <w:t>. These are as follows:-</w:t>
      </w:r>
    </w:p>
    <w:p w:rsidR="007607D5" w:rsidRDefault="007607D5" w:rsidP="007607D5">
      <w:pPr>
        <w:pStyle w:val="ListParagraph"/>
        <w:rPr>
          <w:rFonts w:cs="Arial"/>
        </w:rPr>
      </w:pPr>
    </w:p>
    <w:p w:rsidR="00632B72" w:rsidRDefault="00632B72" w:rsidP="00D23339">
      <w:pPr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Devolution – There are potential changes to Local Government structures currently being debated with a range of potential outcomes </w:t>
      </w:r>
      <w:r w:rsidR="00FB0EA2">
        <w:rPr>
          <w:rFonts w:cs="Arial"/>
        </w:rPr>
        <w:t>with Oxford</w:t>
      </w:r>
      <w:r>
        <w:rPr>
          <w:rFonts w:cs="Arial"/>
        </w:rPr>
        <w:t xml:space="preserve"> City Council potentially ceasing to exist in its current form. </w:t>
      </w:r>
      <w:r w:rsidR="004D0D07">
        <w:rPr>
          <w:rFonts w:cs="Arial"/>
        </w:rPr>
        <w:t>All Oxfordshire Councils and the L</w:t>
      </w:r>
      <w:r w:rsidR="008F6ADE">
        <w:rPr>
          <w:rFonts w:cs="Arial"/>
        </w:rPr>
        <w:t xml:space="preserve">ocal </w:t>
      </w:r>
      <w:r w:rsidR="004D0D07">
        <w:rPr>
          <w:rFonts w:cs="Arial"/>
        </w:rPr>
        <w:t>E</w:t>
      </w:r>
      <w:r w:rsidR="008F6ADE">
        <w:rPr>
          <w:rFonts w:cs="Arial"/>
        </w:rPr>
        <w:t xml:space="preserve">nterprise </w:t>
      </w:r>
      <w:r w:rsidR="004D0D07">
        <w:rPr>
          <w:rFonts w:cs="Arial"/>
        </w:rPr>
        <w:t>P</w:t>
      </w:r>
      <w:r w:rsidR="008F6ADE">
        <w:rPr>
          <w:rFonts w:cs="Arial"/>
        </w:rPr>
        <w:t>artnership</w:t>
      </w:r>
      <w:r w:rsidR="004D0D07">
        <w:rPr>
          <w:rFonts w:cs="Arial"/>
        </w:rPr>
        <w:t xml:space="preserve"> have agreed to develop proposals for a revised devolution deal for Oxfordshire</w:t>
      </w:r>
      <w:r w:rsidR="002A79C0">
        <w:rPr>
          <w:rFonts w:cs="Arial"/>
        </w:rPr>
        <w:t xml:space="preserve"> with</w:t>
      </w:r>
      <w:r w:rsidR="008F6ADE">
        <w:rPr>
          <w:rFonts w:cs="Arial"/>
        </w:rPr>
        <w:t xml:space="preserve"> a</w:t>
      </w:r>
      <w:r w:rsidR="002A79C0">
        <w:rPr>
          <w:rFonts w:cs="Arial"/>
        </w:rPr>
        <w:t xml:space="preserve"> governance model of Combined </w:t>
      </w:r>
      <w:r w:rsidR="00F76581">
        <w:rPr>
          <w:rFonts w:cs="Arial"/>
        </w:rPr>
        <w:t>A</w:t>
      </w:r>
      <w:r w:rsidR="00FB0EA2">
        <w:rPr>
          <w:rFonts w:cs="Arial"/>
        </w:rPr>
        <w:t>uthority</w:t>
      </w:r>
      <w:r w:rsidR="002A79C0">
        <w:rPr>
          <w:rFonts w:cs="Arial"/>
        </w:rPr>
        <w:t xml:space="preserve"> &amp; Mayor. This work </w:t>
      </w:r>
      <w:r w:rsidR="00F0304D">
        <w:rPr>
          <w:rFonts w:cs="Arial"/>
        </w:rPr>
        <w:t xml:space="preserve">is </w:t>
      </w:r>
      <w:r w:rsidR="002A79C0">
        <w:rPr>
          <w:rFonts w:cs="Arial"/>
        </w:rPr>
        <w:t>underway with the aim of prod</w:t>
      </w:r>
      <w:r w:rsidR="00F0304D">
        <w:rPr>
          <w:rFonts w:cs="Arial"/>
        </w:rPr>
        <w:t xml:space="preserve">ucing proposals for discussion with </w:t>
      </w:r>
      <w:r>
        <w:rPr>
          <w:rFonts w:cs="Arial"/>
        </w:rPr>
        <w:t>Government</w:t>
      </w:r>
      <w:r w:rsidR="00F0304D">
        <w:rPr>
          <w:rFonts w:cs="Arial"/>
        </w:rPr>
        <w:t xml:space="preserve"> by March</w:t>
      </w:r>
      <w:r w:rsidR="00F76581">
        <w:rPr>
          <w:rFonts w:cs="Arial"/>
        </w:rPr>
        <w:t xml:space="preserve"> 2017</w:t>
      </w:r>
      <w:r w:rsidR="00F0304D">
        <w:rPr>
          <w:rFonts w:cs="Arial"/>
        </w:rPr>
        <w:t>.</w:t>
      </w:r>
      <w:r>
        <w:rPr>
          <w:rFonts w:cs="Arial"/>
        </w:rPr>
        <w:t xml:space="preserve"> </w:t>
      </w:r>
      <w:r w:rsidR="009D24DB">
        <w:rPr>
          <w:rFonts w:cs="Arial"/>
        </w:rPr>
        <w:t xml:space="preserve">Oxfordshire County Council </w:t>
      </w:r>
      <w:r w:rsidR="00FB0EA2">
        <w:rPr>
          <w:rFonts w:cs="Arial"/>
        </w:rPr>
        <w:t>has</w:t>
      </w:r>
      <w:r w:rsidR="0093376B">
        <w:rPr>
          <w:rFonts w:cs="Arial"/>
        </w:rPr>
        <w:t xml:space="preserve"> published proposals for a single Unitary Council covering the whole of Oxfordshire. </w:t>
      </w:r>
    </w:p>
    <w:p w:rsidR="00632B72" w:rsidRDefault="00632B72" w:rsidP="00632B72">
      <w:pPr>
        <w:pStyle w:val="ListParagraph"/>
        <w:rPr>
          <w:rFonts w:cs="Arial"/>
        </w:rPr>
      </w:pPr>
    </w:p>
    <w:p w:rsidR="007607D5" w:rsidRDefault="00064401" w:rsidP="007607D5">
      <w:pPr>
        <w:numPr>
          <w:ilvl w:val="0"/>
          <w:numId w:val="33"/>
        </w:numPr>
        <w:rPr>
          <w:rFonts w:cs="Arial"/>
        </w:rPr>
      </w:pPr>
      <w:r w:rsidRPr="006D13DC">
        <w:rPr>
          <w:rFonts w:cs="Arial"/>
        </w:rPr>
        <w:t>Climate Change – Oxford has been subject to a number of significant flooding and extreme weather events</w:t>
      </w:r>
      <w:r w:rsidR="00B77C83" w:rsidRPr="006D13DC">
        <w:rPr>
          <w:rFonts w:cs="Arial"/>
        </w:rPr>
        <w:t xml:space="preserve"> resulting in widespread disruption and damage</w:t>
      </w:r>
      <w:r w:rsidRPr="006D13DC">
        <w:rPr>
          <w:rFonts w:cs="Arial"/>
        </w:rPr>
        <w:t>. Mitigation arrangements and plans have been put in place but there is a risk that they could be insufficient to deal with major future flooding or extreme weather.</w:t>
      </w:r>
      <w:r w:rsidR="00B77C83" w:rsidRPr="006D13DC">
        <w:rPr>
          <w:rFonts w:cs="Arial"/>
        </w:rPr>
        <w:t xml:space="preserve"> Flood alleviation schemes are underway and being investigated.</w:t>
      </w:r>
    </w:p>
    <w:p w:rsidR="00AE1E8F" w:rsidRDefault="00AE1E8F" w:rsidP="00561793">
      <w:pPr>
        <w:pStyle w:val="ListParagraph"/>
        <w:rPr>
          <w:rFonts w:cs="Arial"/>
        </w:rPr>
      </w:pPr>
    </w:p>
    <w:p w:rsidR="007607D5" w:rsidRDefault="007607D5" w:rsidP="007607D5">
      <w:pPr>
        <w:rPr>
          <w:rFonts w:cs="Arial"/>
        </w:rPr>
      </w:pPr>
    </w:p>
    <w:p w:rsidR="00575183" w:rsidRPr="00B77C83" w:rsidRDefault="00B77C83" w:rsidP="00575183">
      <w:pPr>
        <w:numPr>
          <w:ilvl w:val="0"/>
          <w:numId w:val="1"/>
        </w:numPr>
        <w:ind w:left="426" w:hanging="426"/>
        <w:rPr>
          <w:rFonts w:cs="Arial"/>
        </w:rPr>
      </w:pPr>
      <w:r w:rsidRPr="00B77C83">
        <w:rPr>
          <w:rFonts w:cs="Arial"/>
        </w:rPr>
        <w:t xml:space="preserve">The table below shows the </w:t>
      </w:r>
      <w:r w:rsidR="004C0AA4">
        <w:rPr>
          <w:rFonts w:cs="Arial"/>
        </w:rPr>
        <w:t xml:space="preserve">levels of red, amber and green </w:t>
      </w:r>
      <w:r w:rsidR="001C2C5C">
        <w:rPr>
          <w:rFonts w:cs="Arial"/>
        </w:rPr>
        <w:t xml:space="preserve">residual </w:t>
      </w:r>
      <w:r w:rsidR="004C0AA4">
        <w:rPr>
          <w:rFonts w:cs="Arial"/>
        </w:rPr>
        <w:t xml:space="preserve">risks </w:t>
      </w:r>
      <w:r w:rsidRPr="00B77C83">
        <w:rPr>
          <w:rFonts w:cs="Arial"/>
        </w:rPr>
        <w:t>over the last 12 months.</w:t>
      </w:r>
    </w:p>
    <w:p w:rsidR="000116FF" w:rsidRDefault="000116FF" w:rsidP="000116FF">
      <w:pPr>
        <w:ind w:left="426"/>
        <w:rPr>
          <w:rFonts w:cs="Arial"/>
        </w:rPr>
      </w:pPr>
    </w:p>
    <w:tbl>
      <w:tblPr>
        <w:tblW w:w="6140" w:type="dxa"/>
        <w:tblInd w:w="720" w:type="dxa"/>
        <w:tblLook w:val="04A0" w:firstRow="1" w:lastRow="0" w:firstColumn="1" w:lastColumn="0" w:noHBand="0" w:noVBand="1"/>
      </w:tblPr>
      <w:tblGrid>
        <w:gridCol w:w="1660"/>
        <w:gridCol w:w="1120"/>
        <w:gridCol w:w="1120"/>
        <w:gridCol w:w="1120"/>
        <w:gridCol w:w="1120"/>
      </w:tblGrid>
      <w:tr w:rsidR="00C37BCB" w:rsidRPr="000A470B" w:rsidTr="00C37BCB">
        <w:trPr>
          <w:trHeight w:val="315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632B72" w:rsidP="0093376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93376B">
              <w:rPr>
                <w:rFonts w:cs="Arial"/>
                <w:b/>
                <w:bCs/>
                <w:color w:val="000000"/>
                <w:lang w:eastAsia="en-GB"/>
              </w:rPr>
              <w:t>4</w:t>
            </w:r>
            <w:r w:rsidR="00C37BCB"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632B72" w:rsidP="0093376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93376B">
              <w:rPr>
                <w:rFonts w:cs="Arial"/>
                <w:b/>
                <w:bCs/>
                <w:color w:val="000000"/>
                <w:lang w:eastAsia="en-GB"/>
              </w:rPr>
              <w:t>1</w:t>
            </w:r>
            <w:r w:rsidR="00C37BCB"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 w:rsidR="0093376B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="00C37BCB"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 w:rsidR="0093376B"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632B72" w:rsidP="0093376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93376B">
              <w:rPr>
                <w:rFonts w:cs="Arial"/>
                <w:b/>
                <w:bCs/>
                <w:color w:val="000000"/>
                <w:lang w:eastAsia="en-GB"/>
              </w:rPr>
              <w:t>2</w:t>
            </w:r>
            <w:r w:rsidR="00C37BCB"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="00C37BCB"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632B72" w:rsidP="0093376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93376B">
              <w:rPr>
                <w:rFonts w:cs="Arial"/>
                <w:b/>
                <w:bCs/>
                <w:color w:val="000000"/>
                <w:lang w:eastAsia="en-GB"/>
              </w:rPr>
              <w:t>3</w:t>
            </w:r>
            <w:r w:rsidR="00C37BCB"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 w:rsidR="003B5975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="00C37BCB" w:rsidRPr="000A470B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 w:rsidR="003B5975"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60084B" w:rsidP="0060084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632B72" w:rsidP="003B5975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3B5975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60084B" w:rsidP="0060084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7</w:t>
            </w:r>
            <w:bookmarkStart w:id="0" w:name="_GoBack"/>
            <w:bookmarkEnd w:id="0"/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AE1E8F" w:rsidP="00AE1E8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C37BCB" w:rsidRPr="000A470B" w:rsidTr="00C37BCB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632B72" w:rsidP="0014743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93376B" w:rsidP="0093376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632B72" w:rsidP="00632B72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494C51" w:rsidP="0081298E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1</w:t>
            </w:r>
            <w:r w:rsidR="0081298E">
              <w:rPr>
                <w:rFonts w:cs="Arial"/>
                <w:b/>
                <w:bCs/>
                <w:color w:val="000000"/>
                <w:lang w:eastAsia="en-GB"/>
              </w:rPr>
              <w:t>0</w:t>
            </w:r>
          </w:p>
        </w:tc>
      </w:tr>
    </w:tbl>
    <w:p w:rsidR="000A470B" w:rsidRDefault="000A470B" w:rsidP="000116FF">
      <w:pPr>
        <w:ind w:left="426"/>
        <w:rPr>
          <w:rFonts w:cs="Arial"/>
        </w:rPr>
      </w:pPr>
    </w:p>
    <w:p w:rsidR="00561793" w:rsidRDefault="00561793" w:rsidP="00966BBE">
      <w:pPr>
        <w:rPr>
          <w:rFonts w:cs="Arial"/>
          <w:b/>
        </w:rPr>
      </w:pPr>
    </w:p>
    <w:p w:rsidR="00561793" w:rsidRDefault="00561793" w:rsidP="00966BBE">
      <w:pPr>
        <w:rPr>
          <w:rFonts w:cs="Arial"/>
          <w:b/>
        </w:rPr>
      </w:pPr>
    </w:p>
    <w:p w:rsidR="00561793" w:rsidRDefault="00561793" w:rsidP="00966BBE">
      <w:pPr>
        <w:rPr>
          <w:rFonts w:cs="Arial"/>
          <w:b/>
        </w:rPr>
      </w:pPr>
    </w:p>
    <w:p w:rsidR="00966BBE" w:rsidRPr="00A32A7B" w:rsidRDefault="0078409C" w:rsidP="00966BBE">
      <w:pPr>
        <w:rPr>
          <w:rFonts w:cs="Arial"/>
          <w:b/>
        </w:rPr>
      </w:pPr>
      <w:r w:rsidRPr="0078409C">
        <w:rPr>
          <w:rFonts w:cs="Arial"/>
          <w:b/>
        </w:rPr>
        <w:t xml:space="preserve">Quarter </w:t>
      </w:r>
      <w:r w:rsidR="0093376B">
        <w:rPr>
          <w:rFonts w:cs="Arial"/>
          <w:b/>
        </w:rPr>
        <w:t>3</w:t>
      </w:r>
      <w:r w:rsidRPr="0078409C">
        <w:rPr>
          <w:rFonts w:cs="Arial"/>
          <w:b/>
        </w:rPr>
        <w:t xml:space="preserve"> Service Risk Register</w:t>
      </w:r>
      <w:r w:rsidR="005D6DCA">
        <w:rPr>
          <w:rFonts w:cs="Arial"/>
          <w:b/>
        </w:rPr>
        <w:t>s</w:t>
      </w:r>
    </w:p>
    <w:p w:rsidR="00966BBE" w:rsidRPr="00A32A7B" w:rsidRDefault="00966BBE" w:rsidP="00966BBE">
      <w:pPr>
        <w:rPr>
          <w:rFonts w:cs="Arial"/>
        </w:rPr>
      </w:pPr>
    </w:p>
    <w:p w:rsidR="00CB5642" w:rsidRDefault="006D7D0D" w:rsidP="006D7D0D">
      <w:pPr>
        <w:numPr>
          <w:ilvl w:val="0"/>
          <w:numId w:val="1"/>
        </w:numPr>
        <w:ind w:left="426" w:hanging="426"/>
        <w:rPr>
          <w:rFonts w:cs="Arial"/>
        </w:rPr>
      </w:pPr>
      <w:r w:rsidRPr="00CB5642">
        <w:rPr>
          <w:rFonts w:cs="Arial"/>
        </w:rPr>
        <w:t xml:space="preserve">Each year as part of the service planning process, all service risks are reviewed, those no longer relevant are deleted, and any new ones are added. </w:t>
      </w:r>
    </w:p>
    <w:p w:rsidR="00CB5642" w:rsidRPr="00CB5642" w:rsidRDefault="006D7D0D" w:rsidP="00CB5642">
      <w:pPr>
        <w:rPr>
          <w:rFonts w:cs="Arial"/>
        </w:rPr>
      </w:pPr>
      <w:r w:rsidRPr="00CB5642">
        <w:rPr>
          <w:rFonts w:cs="Arial"/>
        </w:rPr>
        <w:t xml:space="preserve"> </w:t>
      </w:r>
    </w:p>
    <w:p w:rsidR="006A651A" w:rsidRDefault="0078409C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CB5642">
        <w:rPr>
          <w:rFonts w:cs="Arial"/>
        </w:rPr>
        <w:lastRenderedPageBreak/>
        <w:t>The table</w:t>
      </w:r>
      <w:r w:rsidR="00CB5642">
        <w:rPr>
          <w:rFonts w:cs="Arial"/>
        </w:rPr>
        <w:t xml:space="preserve"> </w:t>
      </w:r>
      <w:r w:rsidRPr="00CB5642">
        <w:rPr>
          <w:rFonts w:cs="Arial"/>
        </w:rPr>
        <w:t xml:space="preserve">below shows the number of </w:t>
      </w:r>
      <w:r w:rsidR="005578C1" w:rsidRPr="00CB5642">
        <w:rPr>
          <w:rFonts w:cs="Arial"/>
        </w:rPr>
        <w:t xml:space="preserve">service </w:t>
      </w:r>
      <w:r w:rsidRPr="00CB5642">
        <w:rPr>
          <w:rFonts w:cs="Arial"/>
        </w:rPr>
        <w:t xml:space="preserve">risks </w:t>
      </w:r>
      <w:r w:rsidR="005578C1" w:rsidRPr="00CB5642">
        <w:rPr>
          <w:rFonts w:cs="Arial"/>
        </w:rPr>
        <w:t>in</w:t>
      </w:r>
      <w:r w:rsidRPr="00CB5642">
        <w:rPr>
          <w:rFonts w:cs="Arial"/>
        </w:rPr>
        <w:t xml:space="preserve"> Q</w:t>
      </w:r>
      <w:r w:rsidR="00AE1E8F">
        <w:rPr>
          <w:rFonts w:cs="Arial"/>
        </w:rPr>
        <w:t>3</w:t>
      </w:r>
      <w:r w:rsidRPr="00CB5642">
        <w:rPr>
          <w:rFonts w:cs="Arial"/>
        </w:rPr>
        <w:t xml:space="preserve"> 201</w:t>
      </w:r>
      <w:r w:rsidR="00CB5642">
        <w:rPr>
          <w:rFonts w:cs="Arial"/>
        </w:rPr>
        <w:t>6</w:t>
      </w:r>
      <w:r w:rsidRPr="00CB5642">
        <w:rPr>
          <w:rFonts w:cs="Arial"/>
        </w:rPr>
        <w:t>/1</w:t>
      </w:r>
      <w:r w:rsidR="00CB5642">
        <w:rPr>
          <w:rFonts w:cs="Arial"/>
        </w:rPr>
        <w:t>7</w:t>
      </w:r>
      <w:r w:rsidRPr="00CB5642">
        <w:rPr>
          <w:rFonts w:cs="Arial"/>
        </w:rPr>
        <w:t xml:space="preserve"> compared with the last 1</w:t>
      </w:r>
      <w:r w:rsidR="00DF0561" w:rsidRPr="00CB5642">
        <w:rPr>
          <w:rFonts w:cs="Arial"/>
        </w:rPr>
        <w:t>2</w:t>
      </w:r>
      <w:r w:rsidRPr="00CB5642">
        <w:rPr>
          <w:rFonts w:cs="Arial"/>
        </w:rPr>
        <w:t xml:space="preserve"> months. </w:t>
      </w:r>
      <w:r w:rsidR="007F6BF9">
        <w:rPr>
          <w:rFonts w:cs="Arial"/>
        </w:rPr>
        <w:t>Two</w:t>
      </w:r>
      <w:r w:rsidR="00A02990">
        <w:rPr>
          <w:rFonts w:cs="Arial"/>
        </w:rPr>
        <w:t xml:space="preserve"> risk</w:t>
      </w:r>
      <w:r w:rsidR="007F6BF9">
        <w:rPr>
          <w:rFonts w:cs="Arial"/>
        </w:rPr>
        <w:t>s</w:t>
      </w:r>
      <w:r w:rsidR="00A02990">
        <w:rPr>
          <w:rFonts w:cs="Arial"/>
        </w:rPr>
        <w:t xml:space="preserve"> ha</w:t>
      </w:r>
      <w:r w:rsidR="007F6BF9">
        <w:rPr>
          <w:rFonts w:cs="Arial"/>
        </w:rPr>
        <w:t>ve</w:t>
      </w:r>
      <w:r w:rsidR="00A02990">
        <w:rPr>
          <w:rFonts w:cs="Arial"/>
        </w:rPr>
        <w:t xml:space="preserve"> been closed since the last quarter and one new risk has been added.</w:t>
      </w:r>
      <w:r w:rsidR="00292826" w:rsidRPr="00CB5642">
        <w:rPr>
          <w:rFonts w:cs="Arial"/>
        </w:rPr>
        <w:t xml:space="preserve"> </w:t>
      </w:r>
    </w:p>
    <w:p w:rsidR="00ED7504" w:rsidRDefault="00ED7504">
      <w:pPr>
        <w:rPr>
          <w:rFonts w:cs="Arial"/>
        </w:rPr>
      </w:pPr>
    </w:p>
    <w:p w:rsidR="001404F1" w:rsidRPr="00CB5642" w:rsidRDefault="001404F1" w:rsidP="00FB0EA2">
      <w:pPr>
        <w:rPr>
          <w:rFonts w:cs="Arial"/>
        </w:rPr>
      </w:pPr>
    </w:p>
    <w:p w:rsidR="004C0AA4" w:rsidRDefault="004C0AA4" w:rsidP="000C7E80">
      <w:pPr>
        <w:pStyle w:val="ListParagraph"/>
        <w:rPr>
          <w:rFonts w:cs="Arial"/>
        </w:rPr>
      </w:pPr>
    </w:p>
    <w:tbl>
      <w:tblPr>
        <w:tblW w:w="6660" w:type="dxa"/>
        <w:tblInd w:w="720" w:type="dxa"/>
        <w:tblLook w:val="04A0" w:firstRow="1" w:lastRow="0" w:firstColumn="1" w:lastColumn="0" w:noHBand="0" w:noVBand="1"/>
      </w:tblPr>
      <w:tblGrid>
        <w:gridCol w:w="2180"/>
        <w:gridCol w:w="1120"/>
        <w:gridCol w:w="1120"/>
        <w:gridCol w:w="1120"/>
        <w:gridCol w:w="1120"/>
      </w:tblGrid>
      <w:tr w:rsidR="00DF0561" w:rsidRPr="005B360C" w:rsidTr="00DF0561">
        <w:trPr>
          <w:trHeight w:val="315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6E7" w:rsidRDefault="00DF0561" w:rsidP="00CB1A6F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561793">
              <w:rPr>
                <w:rFonts w:cs="Arial"/>
                <w:b/>
                <w:bCs/>
                <w:color w:val="000000"/>
                <w:lang w:eastAsia="en-GB"/>
              </w:rPr>
              <w:t>4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="00DF0561" w:rsidRPr="005B360C" w:rsidRDefault="00DF0561" w:rsidP="00CB1A6F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61793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561793">
              <w:rPr>
                <w:rFonts w:cs="Arial"/>
                <w:b/>
                <w:bCs/>
                <w:color w:val="000000"/>
                <w:lang w:eastAsia="en-GB"/>
              </w:rPr>
              <w:t>1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 w:rsidR="00561793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 w:rsidR="00561793"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61793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561793">
              <w:rPr>
                <w:rFonts w:cs="Arial"/>
                <w:b/>
                <w:bCs/>
                <w:color w:val="000000"/>
                <w:lang w:eastAsia="en-GB"/>
              </w:rPr>
              <w:t>2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 w:rsidR="00CB1A6F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 w:rsidR="00CB1A6F"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CB1A6F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="00561793">
              <w:rPr>
                <w:rFonts w:cs="Arial"/>
                <w:b/>
                <w:bCs/>
                <w:color w:val="000000"/>
                <w:lang w:eastAsia="en-GB"/>
              </w:rPr>
              <w:t>3</w:t>
            </w:r>
            <w:r w:rsidR="00CB1A6F">
              <w:rPr>
                <w:rFonts w:cs="Arial"/>
                <w:b/>
                <w:bCs/>
                <w:color w:val="000000"/>
                <w:lang w:eastAsia="en-GB"/>
              </w:rPr>
              <w:t>2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</w:t>
            </w:r>
            <w:r w:rsidR="00CB5642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/1</w:t>
            </w:r>
            <w:r w:rsidR="00CB5642"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7B753F" w:rsidP="007B753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CB1A6F" w:rsidP="00CB1A6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</w:t>
            </w:r>
            <w:r w:rsidR="00CB5642">
              <w:rPr>
                <w:rFonts w:cs="Arial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CB1A6F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</w:t>
            </w:r>
            <w:r w:rsidR="00561793">
              <w:rPr>
                <w:rFonts w:cs="Arial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7B753F" w:rsidP="007B753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41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421CD7" w:rsidP="00421CD7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28</w:t>
            </w:r>
          </w:p>
        </w:tc>
      </w:tr>
      <w:tr w:rsidR="00DF0561" w:rsidRPr="005B360C" w:rsidTr="00DF0561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CB1A6F" w:rsidP="00561793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 w:rsidR="00561793">
              <w:rPr>
                <w:rFonts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="00CB1A6F">
              <w:rPr>
                <w:rFonts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CB1A6F" w:rsidP="00CB1A6F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E2009E" w:rsidP="007F6BF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  <w:r w:rsidR="007F6BF9">
              <w:rPr>
                <w:rFonts w:cs="Arial"/>
                <w:b/>
                <w:bCs/>
                <w:color w:val="000000"/>
                <w:lang w:eastAsia="en-GB"/>
              </w:rPr>
              <w:t>1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New risks in quarter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  <w:r w:rsidR="00DF0561" w:rsidRPr="005B360C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CB1A6F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CB1A6F" w:rsidP="00CB1A6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Closed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561793" w:rsidP="00561793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7F6BF9" w:rsidP="007F6BF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</w:tr>
    </w:tbl>
    <w:p w:rsidR="004C0AA4" w:rsidRDefault="004C0AA4" w:rsidP="0039582D">
      <w:pPr>
        <w:ind w:left="567"/>
        <w:rPr>
          <w:rFonts w:cs="Arial"/>
        </w:rPr>
      </w:pPr>
    </w:p>
    <w:p w:rsidR="005669C0" w:rsidRPr="007B753F" w:rsidRDefault="00A02990" w:rsidP="007B753F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7B753F">
        <w:rPr>
          <w:rFonts w:cs="Arial"/>
        </w:rPr>
        <w:t>There were t</w:t>
      </w:r>
      <w:r w:rsidR="006A69C2" w:rsidRPr="007B753F">
        <w:rPr>
          <w:rFonts w:cs="Arial"/>
        </w:rPr>
        <w:t>wo</w:t>
      </w:r>
      <w:r w:rsidRPr="007B753F">
        <w:rPr>
          <w:rFonts w:cs="Arial"/>
        </w:rPr>
        <w:t xml:space="preserve"> red risks at the end of December 2016. </w:t>
      </w:r>
      <w:r w:rsidR="006454CD" w:rsidRPr="007B753F">
        <w:rPr>
          <w:rFonts w:cs="Arial"/>
        </w:rPr>
        <w:t>O</w:t>
      </w:r>
      <w:r w:rsidR="005B3C80" w:rsidRPr="007B753F">
        <w:rPr>
          <w:rFonts w:cs="Arial"/>
        </w:rPr>
        <w:t xml:space="preserve">ne new risk for </w:t>
      </w:r>
      <w:r w:rsidR="00E2009E" w:rsidRPr="007B753F">
        <w:rPr>
          <w:rFonts w:cs="Arial"/>
        </w:rPr>
        <w:t>Q</w:t>
      </w:r>
      <w:r w:rsidRPr="007B753F">
        <w:rPr>
          <w:rFonts w:cs="Arial"/>
        </w:rPr>
        <w:t>3</w:t>
      </w:r>
      <w:r w:rsidR="00E2009E" w:rsidRPr="007B753F">
        <w:rPr>
          <w:rFonts w:cs="Arial"/>
        </w:rPr>
        <w:t xml:space="preserve"> </w:t>
      </w:r>
      <w:r w:rsidR="0038756A" w:rsidRPr="007B753F">
        <w:rPr>
          <w:rFonts w:cs="Arial"/>
        </w:rPr>
        <w:t>has been classified as red</w:t>
      </w:r>
      <w:r w:rsidR="001A773F" w:rsidRPr="007B753F">
        <w:rPr>
          <w:rFonts w:cs="Arial"/>
        </w:rPr>
        <w:t xml:space="preserve"> and one has been upgraded from amber to red</w:t>
      </w:r>
      <w:r w:rsidR="006454CD" w:rsidRPr="007B753F">
        <w:rPr>
          <w:rFonts w:cs="Arial"/>
        </w:rPr>
        <w:t xml:space="preserve">. These </w:t>
      </w:r>
      <w:r w:rsidR="0073278E" w:rsidRPr="007B753F">
        <w:rPr>
          <w:rFonts w:cs="Arial"/>
        </w:rPr>
        <w:t xml:space="preserve">red risks </w:t>
      </w:r>
      <w:r w:rsidR="006454CD" w:rsidRPr="007B753F">
        <w:rPr>
          <w:rFonts w:cs="Arial"/>
        </w:rPr>
        <w:t>are as follows:-</w:t>
      </w:r>
      <w:r w:rsidR="0039582D" w:rsidRPr="007B753F">
        <w:rPr>
          <w:rFonts w:cs="Arial"/>
        </w:rPr>
        <w:t xml:space="preserve"> </w:t>
      </w:r>
      <w:r w:rsidR="0090420B" w:rsidRPr="007B753F">
        <w:rPr>
          <w:rFonts w:cs="Arial"/>
        </w:rPr>
        <w:t xml:space="preserve"> </w:t>
      </w:r>
    </w:p>
    <w:p w:rsidR="00C23BDA" w:rsidRPr="00C23BDA" w:rsidRDefault="00C23BDA" w:rsidP="00C23BDA">
      <w:pPr>
        <w:pStyle w:val="ListParagraph"/>
        <w:rPr>
          <w:rFonts w:cs="Arial"/>
        </w:rPr>
      </w:pPr>
    </w:p>
    <w:p w:rsidR="00C23BDA" w:rsidRPr="00C23BDA" w:rsidRDefault="00C23BDA" w:rsidP="00C23BDA">
      <w:pPr>
        <w:pStyle w:val="ListParagraph"/>
        <w:rPr>
          <w:rFonts w:cs="Arial"/>
        </w:rPr>
      </w:pPr>
    </w:p>
    <w:p w:rsidR="00E2009E" w:rsidRDefault="00FB0EA2" w:rsidP="00E2009E">
      <w:pPr>
        <w:pStyle w:val="ListParagraph"/>
        <w:numPr>
          <w:ilvl w:val="1"/>
          <w:numId w:val="23"/>
        </w:numPr>
        <w:rPr>
          <w:rFonts w:cs="Arial"/>
        </w:rPr>
      </w:pPr>
      <w:r>
        <w:rPr>
          <w:rFonts w:cs="Arial"/>
        </w:rPr>
        <w:t xml:space="preserve">Community </w:t>
      </w:r>
      <w:r w:rsidRPr="00E2009E">
        <w:rPr>
          <w:rFonts w:cs="Arial"/>
        </w:rPr>
        <w:t>Services</w:t>
      </w:r>
      <w:r w:rsidR="00E2009E" w:rsidRPr="00E2009E">
        <w:rPr>
          <w:rFonts w:cs="Arial"/>
        </w:rPr>
        <w:t xml:space="preserve"> – relates to </w:t>
      </w:r>
      <w:r w:rsidR="00A02990">
        <w:rPr>
          <w:rFonts w:cs="Arial"/>
        </w:rPr>
        <w:t>Out of Town Taxis and the legal loophole which allows hackney carriages to undertake pre-booked work outside the area in which they are licensed</w:t>
      </w:r>
      <w:r w:rsidR="00B25DD0">
        <w:rPr>
          <w:rFonts w:cs="Arial"/>
        </w:rPr>
        <w:t>. This poses a safeguarding risk to passengers</w:t>
      </w:r>
      <w:r w:rsidR="00F66A15">
        <w:rPr>
          <w:rFonts w:cs="Arial"/>
        </w:rPr>
        <w:t xml:space="preserve"> and the public</w:t>
      </w:r>
      <w:r w:rsidR="00B25DD0">
        <w:rPr>
          <w:rFonts w:cs="Arial"/>
        </w:rPr>
        <w:t xml:space="preserve"> </w:t>
      </w:r>
      <w:r w:rsidR="00F66A15">
        <w:rPr>
          <w:rFonts w:cs="Arial"/>
        </w:rPr>
        <w:t>as it hampers our public protection role on taxis.</w:t>
      </w:r>
      <w:r w:rsidR="00DE43A1">
        <w:rPr>
          <w:rFonts w:cs="Arial"/>
        </w:rPr>
        <w:t xml:space="preserve"> </w:t>
      </w:r>
      <w:r w:rsidR="00C56996">
        <w:rPr>
          <w:rFonts w:cs="Arial"/>
        </w:rPr>
        <w:t xml:space="preserve">There is also a </w:t>
      </w:r>
      <w:r w:rsidR="00F66A15">
        <w:rPr>
          <w:rFonts w:cs="Arial"/>
        </w:rPr>
        <w:t>f</w:t>
      </w:r>
      <w:r w:rsidR="00B8308C">
        <w:rPr>
          <w:rFonts w:cs="Arial"/>
        </w:rPr>
        <w:t xml:space="preserve">inancial risk due to </w:t>
      </w:r>
      <w:r w:rsidR="00C56996">
        <w:rPr>
          <w:rFonts w:cs="Arial"/>
        </w:rPr>
        <w:t xml:space="preserve">a </w:t>
      </w:r>
      <w:r w:rsidR="00B8308C">
        <w:rPr>
          <w:rFonts w:cs="Arial"/>
        </w:rPr>
        <w:t>reduction</w:t>
      </w:r>
      <w:r w:rsidR="00C56996">
        <w:rPr>
          <w:rFonts w:cs="Arial"/>
        </w:rPr>
        <w:t xml:space="preserve"> </w:t>
      </w:r>
      <w:r w:rsidR="00B8308C">
        <w:rPr>
          <w:rFonts w:cs="Arial"/>
        </w:rPr>
        <w:t>in licences issued</w:t>
      </w:r>
      <w:r w:rsidR="00F66A15">
        <w:rPr>
          <w:rFonts w:cs="Arial"/>
        </w:rPr>
        <w:t xml:space="preserve"> putting the sustainability of the </w:t>
      </w:r>
      <w:r w:rsidR="00DE43A1">
        <w:rPr>
          <w:rFonts w:cs="Arial"/>
        </w:rPr>
        <w:t>L</w:t>
      </w:r>
      <w:r w:rsidR="00F66A15">
        <w:rPr>
          <w:rFonts w:cs="Arial"/>
        </w:rPr>
        <w:t xml:space="preserve">icensing </w:t>
      </w:r>
      <w:r w:rsidR="00DE43A1">
        <w:rPr>
          <w:rFonts w:cs="Arial"/>
        </w:rPr>
        <w:t>T</w:t>
      </w:r>
      <w:r w:rsidR="00F66A15">
        <w:rPr>
          <w:rFonts w:cs="Arial"/>
        </w:rPr>
        <w:t>eam at risk</w:t>
      </w:r>
      <w:r w:rsidR="00B8308C">
        <w:rPr>
          <w:rFonts w:cs="Arial"/>
        </w:rPr>
        <w:t xml:space="preserve">. </w:t>
      </w:r>
      <w:r w:rsidR="00C56996">
        <w:rPr>
          <w:rFonts w:cs="Arial"/>
        </w:rPr>
        <w:t>W</w:t>
      </w:r>
      <w:r w:rsidR="00F66A15">
        <w:rPr>
          <w:rFonts w:cs="Arial"/>
        </w:rPr>
        <w:t xml:space="preserve">ork is </w:t>
      </w:r>
      <w:r w:rsidR="001B2C67">
        <w:rPr>
          <w:rFonts w:cs="Arial"/>
        </w:rPr>
        <w:t>underway with</w:t>
      </w:r>
      <w:r w:rsidR="00B8308C">
        <w:rPr>
          <w:rFonts w:cs="Arial"/>
        </w:rPr>
        <w:t xml:space="preserve"> neighbouring Authorities, the County Council and OSCB under the Joint Operating Framework to identify the </w:t>
      </w:r>
      <w:r w:rsidR="00C56996">
        <w:rPr>
          <w:rFonts w:cs="Arial"/>
        </w:rPr>
        <w:t xml:space="preserve">most prevalent neighbouring Authorities and Operators using Out of Towners. </w:t>
      </w:r>
      <w:r w:rsidR="00F66A15">
        <w:rPr>
          <w:rFonts w:cs="Arial"/>
        </w:rPr>
        <w:t xml:space="preserve">We need to work with them to </w:t>
      </w:r>
      <w:r w:rsidR="00C56996">
        <w:rPr>
          <w:rFonts w:cs="Arial"/>
        </w:rPr>
        <w:t xml:space="preserve">encourage drivers and vehicles back to Oxford. There is </w:t>
      </w:r>
      <w:r w:rsidR="00F66A15">
        <w:rPr>
          <w:rFonts w:cs="Arial"/>
        </w:rPr>
        <w:t xml:space="preserve">also </w:t>
      </w:r>
      <w:r w:rsidR="00C56996">
        <w:rPr>
          <w:rFonts w:cs="Arial"/>
        </w:rPr>
        <w:t xml:space="preserve">a reputational issue for Local Authorities and Operators.  </w:t>
      </w:r>
    </w:p>
    <w:p w:rsidR="001A773F" w:rsidRPr="001A773F" w:rsidRDefault="001A773F" w:rsidP="00A125AF">
      <w:pPr>
        <w:pStyle w:val="ListParagraph"/>
        <w:rPr>
          <w:rFonts w:cs="Arial"/>
        </w:rPr>
      </w:pPr>
    </w:p>
    <w:p w:rsidR="001A773F" w:rsidRDefault="001A773F" w:rsidP="00E2009E">
      <w:pPr>
        <w:pStyle w:val="ListParagraph"/>
        <w:numPr>
          <w:ilvl w:val="1"/>
          <w:numId w:val="23"/>
        </w:numPr>
        <w:rPr>
          <w:rFonts w:cs="Arial"/>
        </w:rPr>
      </w:pPr>
      <w:r>
        <w:rPr>
          <w:rFonts w:cs="Arial"/>
        </w:rPr>
        <w:t xml:space="preserve">Partnership Working – </w:t>
      </w:r>
      <w:r w:rsidR="00B51B7C">
        <w:rPr>
          <w:rFonts w:cs="Arial"/>
        </w:rPr>
        <w:t>The County Council’s proposals for local government re</w:t>
      </w:r>
      <w:r w:rsidR="00C16F35">
        <w:rPr>
          <w:rFonts w:cs="Arial"/>
        </w:rPr>
        <w:t>-</w:t>
      </w:r>
      <w:r w:rsidR="00B51B7C">
        <w:rPr>
          <w:rFonts w:cs="Arial"/>
        </w:rPr>
        <w:t xml:space="preserve">organisation could potentially distract from local partnership working. OCC staff are emphasising a business as usual approach and taking forward </w:t>
      </w:r>
      <w:r w:rsidR="00C16F35">
        <w:rPr>
          <w:rFonts w:cs="Arial"/>
        </w:rPr>
        <w:t xml:space="preserve">work </w:t>
      </w:r>
      <w:r w:rsidR="00B51B7C">
        <w:rPr>
          <w:rFonts w:cs="Arial"/>
        </w:rPr>
        <w:t xml:space="preserve">with local partners. OCC staff are working with OSP to create a partnership vision for the City and review and refresh partnership priorities and objectives. Engaging with Business on establishing a strong business voice to raise engagement and profile in Government. Stakeholder engagement meetings with </w:t>
      </w:r>
      <w:r w:rsidR="001B2C67">
        <w:rPr>
          <w:rFonts w:cs="Arial"/>
        </w:rPr>
        <w:t>H</w:t>
      </w:r>
      <w:r w:rsidR="00B51B7C">
        <w:rPr>
          <w:rFonts w:cs="Arial"/>
        </w:rPr>
        <w:t xml:space="preserve">ealth, </w:t>
      </w:r>
      <w:r w:rsidR="001B2C67">
        <w:rPr>
          <w:rFonts w:cs="Arial"/>
        </w:rPr>
        <w:t>B</w:t>
      </w:r>
      <w:r w:rsidR="00B51B7C">
        <w:rPr>
          <w:rFonts w:cs="Arial"/>
        </w:rPr>
        <w:t>usiness</w:t>
      </w:r>
      <w:r w:rsidR="001B2C67">
        <w:rPr>
          <w:rFonts w:cs="Arial"/>
        </w:rPr>
        <w:t xml:space="preserve"> and U</w:t>
      </w:r>
      <w:r w:rsidR="00B51B7C">
        <w:rPr>
          <w:rFonts w:cs="Arial"/>
        </w:rPr>
        <w:t>niversities on future of governance and services in the city. Engagement with CCG on STP which will set future direction of health services in Oxfordshire. Continued partnership work w</w:t>
      </w:r>
      <w:r w:rsidR="00630917">
        <w:rPr>
          <w:rFonts w:cs="Arial"/>
        </w:rPr>
        <w:t>i</w:t>
      </w:r>
      <w:r w:rsidR="00B51B7C">
        <w:rPr>
          <w:rFonts w:cs="Arial"/>
        </w:rPr>
        <w:t xml:space="preserve">th community and voluntary groups on refugees and migration including development of funding bid to support communities. Continued participation and active engagement in County partnerships such as </w:t>
      </w:r>
      <w:r w:rsidR="00630917">
        <w:rPr>
          <w:rFonts w:cs="Arial"/>
        </w:rPr>
        <w:t>H</w:t>
      </w:r>
      <w:r w:rsidR="00B51B7C">
        <w:rPr>
          <w:rFonts w:cs="Arial"/>
        </w:rPr>
        <w:t xml:space="preserve">ealth and Well Being Board, </w:t>
      </w:r>
      <w:r w:rsidR="00630917">
        <w:rPr>
          <w:rFonts w:cs="Arial"/>
        </w:rPr>
        <w:t>S</w:t>
      </w:r>
      <w:r w:rsidR="00B51B7C">
        <w:rPr>
          <w:rFonts w:cs="Arial"/>
        </w:rPr>
        <w:t>afeguarding Board</w:t>
      </w:r>
      <w:r w:rsidR="00630917">
        <w:rPr>
          <w:rFonts w:cs="Arial"/>
        </w:rPr>
        <w:t xml:space="preserve"> and </w:t>
      </w:r>
      <w:r w:rsidR="00B51B7C">
        <w:rPr>
          <w:rFonts w:cs="Arial"/>
        </w:rPr>
        <w:t xml:space="preserve">Schools </w:t>
      </w:r>
      <w:r w:rsidR="00630917">
        <w:rPr>
          <w:rFonts w:cs="Arial"/>
        </w:rPr>
        <w:t>P</w:t>
      </w:r>
      <w:r w:rsidR="00B51B7C">
        <w:rPr>
          <w:rFonts w:cs="Arial"/>
        </w:rPr>
        <w:t>artnership</w:t>
      </w:r>
      <w:r w:rsidR="00C56996">
        <w:rPr>
          <w:rFonts w:cs="Arial"/>
        </w:rPr>
        <w:t>.</w:t>
      </w:r>
      <w:r w:rsidR="00A125AF">
        <w:rPr>
          <w:rFonts w:cs="Arial"/>
        </w:rPr>
        <w:t xml:space="preserve"> </w:t>
      </w:r>
    </w:p>
    <w:p w:rsidR="00E2009E" w:rsidRPr="00E2009E" w:rsidRDefault="00E2009E" w:rsidP="001404F1">
      <w:pPr>
        <w:pStyle w:val="ListParagraph"/>
        <w:rPr>
          <w:rFonts w:cs="Arial"/>
        </w:rPr>
      </w:pPr>
    </w:p>
    <w:p w:rsidR="00B647CA" w:rsidRPr="001404F1" w:rsidRDefault="00B647CA" w:rsidP="001404F1">
      <w:pPr>
        <w:ind w:left="142"/>
        <w:rPr>
          <w:rFonts w:cs="Arial"/>
          <w:b/>
        </w:rPr>
      </w:pPr>
      <w:r w:rsidRPr="001404F1">
        <w:rPr>
          <w:rFonts w:cs="Arial"/>
          <w:b/>
        </w:rPr>
        <w:t>Climate Change / Environmental Impact</w:t>
      </w:r>
    </w:p>
    <w:p w:rsidR="006D13DC" w:rsidRPr="00C346DC" w:rsidRDefault="006D13DC" w:rsidP="000F409C">
      <w:pPr>
        <w:rPr>
          <w:rFonts w:cs="Arial"/>
        </w:rPr>
      </w:pPr>
    </w:p>
    <w:p w:rsidR="00B647CA" w:rsidRDefault="006D13DC" w:rsidP="006F4BA2">
      <w:pPr>
        <w:numPr>
          <w:ilvl w:val="0"/>
          <w:numId w:val="1"/>
        </w:numPr>
        <w:ind w:left="426" w:hanging="426"/>
        <w:rPr>
          <w:rFonts w:cs="Arial"/>
        </w:rPr>
      </w:pPr>
      <w:r w:rsidRPr="006D13DC">
        <w:rPr>
          <w:rFonts w:cs="Arial"/>
        </w:rPr>
        <w:t>This has been raised within the Corporate Risk Register as a risk and investigations are underway into flood alleviation schemes to minimise any future disruption or damage.</w:t>
      </w:r>
    </w:p>
    <w:p w:rsidR="00A747AF" w:rsidRPr="00C346DC" w:rsidRDefault="00A747AF" w:rsidP="006F4BA2">
      <w:pPr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Equalities impact</w:t>
      </w:r>
    </w:p>
    <w:p w:rsidR="006D13DC" w:rsidRPr="00C346DC" w:rsidRDefault="006D13DC" w:rsidP="006F4BA2">
      <w:pPr>
        <w:rPr>
          <w:rFonts w:cs="Arial"/>
        </w:rPr>
      </w:pPr>
    </w:p>
    <w:p w:rsidR="006F4BA2" w:rsidRPr="008B29A7" w:rsidRDefault="00B647CA" w:rsidP="006F4BA2">
      <w:pPr>
        <w:numPr>
          <w:ilvl w:val="0"/>
          <w:numId w:val="1"/>
        </w:numPr>
        <w:ind w:left="426" w:hanging="426"/>
        <w:rPr>
          <w:rFonts w:cs="Arial"/>
        </w:rPr>
      </w:pPr>
      <w:r w:rsidRPr="008B29A7">
        <w:rPr>
          <w:rFonts w:cs="Arial"/>
        </w:rPr>
        <w:t>There are no equalities impacts arising directly from this report</w:t>
      </w:r>
    </w:p>
    <w:p w:rsidR="00603BED" w:rsidRPr="00C346DC" w:rsidRDefault="00603BED" w:rsidP="006F4BA2">
      <w:pPr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Financial Implications</w:t>
      </w:r>
    </w:p>
    <w:p w:rsidR="006D13DC" w:rsidRPr="00C346DC" w:rsidRDefault="006D13DC" w:rsidP="006F4BA2">
      <w:pPr>
        <w:rPr>
          <w:rFonts w:cs="Arial"/>
        </w:rPr>
      </w:pPr>
    </w:p>
    <w:p w:rsidR="006D13DC" w:rsidRPr="007B753F" w:rsidRDefault="00D424B6" w:rsidP="007B753F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7B753F">
        <w:rPr>
          <w:rFonts w:cs="Arial"/>
        </w:rPr>
        <w:t xml:space="preserve">There are no financial implications arising directly from this report. </w:t>
      </w:r>
    </w:p>
    <w:p w:rsidR="007B753F" w:rsidRDefault="007B753F" w:rsidP="00445174">
      <w:pPr>
        <w:rPr>
          <w:rFonts w:cs="Arial"/>
          <w:b/>
        </w:rPr>
      </w:pPr>
    </w:p>
    <w:p w:rsidR="00445174" w:rsidRDefault="005044C6" w:rsidP="00445174">
      <w:pPr>
        <w:rPr>
          <w:rFonts w:cs="Arial"/>
          <w:b/>
        </w:rPr>
      </w:pPr>
      <w:r w:rsidRPr="005044C6">
        <w:rPr>
          <w:rFonts w:cs="Arial"/>
          <w:b/>
        </w:rPr>
        <w:t>Legal Implications</w:t>
      </w:r>
    </w:p>
    <w:p w:rsidR="006D13DC" w:rsidRPr="00C346DC" w:rsidRDefault="006D13DC" w:rsidP="00445174">
      <w:pPr>
        <w:rPr>
          <w:rFonts w:cs="Arial"/>
        </w:rPr>
      </w:pPr>
    </w:p>
    <w:p w:rsidR="005044C6" w:rsidRPr="000C7E80" w:rsidRDefault="005044C6" w:rsidP="00BD4A81">
      <w:pPr>
        <w:numPr>
          <w:ilvl w:val="0"/>
          <w:numId w:val="1"/>
        </w:numPr>
        <w:ind w:left="426" w:hanging="426"/>
        <w:rPr>
          <w:rFonts w:cs="Arial"/>
          <w:b/>
        </w:rPr>
      </w:pPr>
      <w:r>
        <w:rPr>
          <w:rFonts w:cs="Arial"/>
        </w:rPr>
        <w:t>There are no legal implications directly relevant to this report</w:t>
      </w:r>
      <w:r w:rsidR="006D7D0D" w:rsidRPr="006D7D0D">
        <w:rPr>
          <w:rFonts w:cs="Arial"/>
        </w:rPr>
        <w:t xml:space="preserve"> but having proper arrangements to manage risk throughout the organisation is an important component of corporate governance</w:t>
      </w:r>
      <w:r>
        <w:rPr>
          <w:rFonts w:cs="Arial"/>
        </w:rPr>
        <w:t>.</w:t>
      </w:r>
    </w:p>
    <w:p w:rsidR="000C7E80" w:rsidRPr="006F4BA2" w:rsidRDefault="000C7E80" w:rsidP="000C7E80">
      <w:pPr>
        <w:ind w:left="426"/>
        <w:rPr>
          <w:rFonts w:cs="Arial"/>
          <w:b/>
        </w:rPr>
      </w:pPr>
    </w:p>
    <w:p w:rsidR="00714894" w:rsidRPr="006E1B35" w:rsidRDefault="00714894" w:rsidP="006F4BA2">
      <w:pPr>
        <w:ind w:left="426"/>
        <w:rPr>
          <w:rFonts w:cs="Arial"/>
          <w:b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5D4C4D">
        <w:trPr>
          <w:trHeight w:val="270"/>
        </w:trPr>
        <w:tc>
          <w:tcPr>
            <w:tcW w:w="9664" w:type="dxa"/>
          </w:tcPr>
          <w:p w:rsidR="005D4C4D" w:rsidRDefault="005D4C4D" w:rsidP="005D4C4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5D4C4D">
        <w:trPr>
          <w:trHeight w:val="285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Name:  </w:t>
            </w:r>
            <w:r w:rsidR="00347697">
              <w:t>Alison Nash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Job title:  </w:t>
            </w:r>
            <w:r w:rsidR="006E1B35">
              <w:t>Financ</w:t>
            </w:r>
            <w:r w:rsidR="00347697">
              <w:t>e Officer (Insurance)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98273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Department:  Financ</w:t>
            </w:r>
            <w:r w:rsidR="00B949C8">
              <w:t>ial Services</w:t>
            </w:r>
          </w:p>
        </w:tc>
      </w:tr>
      <w:tr w:rsidR="005D4C4D" w:rsidRPr="00B7705C">
        <w:trPr>
          <w:trHeight w:val="570"/>
        </w:trPr>
        <w:tc>
          <w:tcPr>
            <w:tcW w:w="9664" w:type="dxa"/>
          </w:tcPr>
          <w:p w:rsidR="005D4C4D" w:rsidRPr="0098273F" w:rsidRDefault="005D4C4D" w:rsidP="00F3018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u w:val="single"/>
                <w:lang w:val="de-DE"/>
              </w:rPr>
            </w:pPr>
            <w:r w:rsidRPr="0098273F">
              <w:rPr>
                <w:lang w:val="de-DE"/>
              </w:rPr>
              <w:t xml:space="preserve">Tel:  </w:t>
            </w:r>
            <w:r w:rsidR="00F3018B">
              <w:rPr>
                <w:lang w:val="de-DE"/>
              </w:rPr>
              <w:t>01865 252048</w:t>
            </w:r>
            <w:r w:rsidRPr="0098273F">
              <w:rPr>
                <w:lang w:val="de-DE"/>
              </w:rPr>
              <w:t xml:space="preserve">  e-mail:  </w:t>
            </w:r>
            <w:r w:rsidR="00347697">
              <w:rPr>
                <w:lang w:val="de-DE"/>
              </w:rPr>
              <w:t>anash</w:t>
            </w:r>
            <w:r w:rsidR="0098273F" w:rsidRPr="0098273F">
              <w:rPr>
                <w:lang w:val="de-DE"/>
              </w:rPr>
              <w:t>@oxford.gov.uk</w:t>
            </w:r>
          </w:p>
        </w:tc>
      </w:tr>
    </w:tbl>
    <w:p w:rsidR="005D4C4D" w:rsidRPr="00B7705C" w:rsidRDefault="005D4C4D" w:rsidP="005D4C4D">
      <w:pPr>
        <w:rPr>
          <w:rFonts w:cs="Arial"/>
          <w:b/>
          <w:bCs/>
          <w:sz w:val="20"/>
          <w:lang w:val="de-DE"/>
        </w:rPr>
      </w:pPr>
    </w:p>
    <w:p w:rsidR="005064F0" w:rsidRDefault="005D4C4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List of background papers: </w:t>
      </w:r>
      <w:r w:rsidR="000F72BC">
        <w:rPr>
          <w:rFonts w:cs="Arial"/>
          <w:b/>
          <w:bCs/>
        </w:rPr>
        <w:t>N</w:t>
      </w:r>
      <w:r w:rsidR="00815488">
        <w:rPr>
          <w:rFonts w:cs="Arial"/>
          <w:b/>
          <w:bCs/>
        </w:rPr>
        <w:t>one.</w:t>
      </w:r>
    </w:p>
    <w:sectPr w:rsidR="005064F0" w:rsidSect="00A32A7B">
      <w:pgSz w:w="11906" w:h="16838"/>
      <w:pgMar w:top="851" w:right="1797" w:bottom="1440" w:left="179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EC" w:rsidRDefault="00056CEC">
      <w:r>
        <w:separator/>
      </w:r>
    </w:p>
  </w:endnote>
  <w:endnote w:type="continuationSeparator" w:id="0">
    <w:p w:rsidR="00056CEC" w:rsidRDefault="0005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EC" w:rsidRDefault="00056CEC">
      <w:r>
        <w:separator/>
      </w:r>
    </w:p>
  </w:footnote>
  <w:footnote w:type="continuationSeparator" w:id="0">
    <w:p w:rsidR="00056CEC" w:rsidRDefault="0005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53"/>
    <w:multiLevelType w:val="hybridMultilevel"/>
    <w:tmpl w:val="CB344734"/>
    <w:lvl w:ilvl="0" w:tplc="775A124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D80FEA"/>
    <w:multiLevelType w:val="hybridMultilevel"/>
    <w:tmpl w:val="625E3F22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73"/>
    <w:multiLevelType w:val="hybridMultilevel"/>
    <w:tmpl w:val="DD325254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10E5574C"/>
    <w:multiLevelType w:val="hybridMultilevel"/>
    <w:tmpl w:val="67A8F00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9354EF0"/>
    <w:multiLevelType w:val="hybridMultilevel"/>
    <w:tmpl w:val="E81AC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65BE"/>
    <w:multiLevelType w:val="hybridMultilevel"/>
    <w:tmpl w:val="D5A0E6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70523"/>
    <w:multiLevelType w:val="hybridMultilevel"/>
    <w:tmpl w:val="86CCB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6692E"/>
    <w:multiLevelType w:val="hybridMultilevel"/>
    <w:tmpl w:val="B34268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5C40CB"/>
    <w:multiLevelType w:val="hybridMultilevel"/>
    <w:tmpl w:val="5A6A14A2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0F032D"/>
    <w:multiLevelType w:val="hybridMultilevel"/>
    <w:tmpl w:val="0BECB426"/>
    <w:lvl w:ilvl="0" w:tplc="08090019">
      <w:start w:val="1"/>
      <w:numFmt w:val="lowerLetter"/>
      <w:lvlText w:val="%1."/>
      <w:lvlJc w:val="left"/>
      <w:pPr>
        <w:ind w:left="1701" w:hanging="360"/>
      </w:pPr>
    </w:lvl>
    <w:lvl w:ilvl="1" w:tplc="08090019" w:tentative="1">
      <w:start w:val="1"/>
      <w:numFmt w:val="lowerLetter"/>
      <w:lvlText w:val="%2."/>
      <w:lvlJc w:val="left"/>
      <w:pPr>
        <w:ind w:left="2421" w:hanging="360"/>
      </w:pPr>
    </w:lvl>
    <w:lvl w:ilvl="2" w:tplc="0809001B" w:tentative="1">
      <w:start w:val="1"/>
      <w:numFmt w:val="lowerRoman"/>
      <w:lvlText w:val="%3."/>
      <w:lvlJc w:val="right"/>
      <w:pPr>
        <w:ind w:left="3141" w:hanging="180"/>
      </w:pPr>
    </w:lvl>
    <w:lvl w:ilvl="3" w:tplc="0809000F" w:tentative="1">
      <w:start w:val="1"/>
      <w:numFmt w:val="decimal"/>
      <w:lvlText w:val="%4."/>
      <w:lvlJc w:val="left"/>
      <w:pPr>
        <w:ind w:left="3861" w:hanging="360"/>
      </w:pPr>
    </w:lvl>
    <w:lvl w:ilvl="4" w:tplc="08090019" w:tentative="1">
      <w:start w:val="1"/>
      <w:numFmt w:val="lowerLetter"/>
      <w:lvlText w:val="%5."/>
      <w:lvlJc w:val="left"/>
      <w:pPr>
        <w:ind w:left="4581" w:hanging="360"/>
      </w:pPr>
    </w:lvl>
    <w:lvl w:ilvl="5" w:tplc="0809001B" w:tentative="1">
      <w:start w:val="1"/>
      <w:numFmt w:val="lowerRoman"/>
      <w:lvlText w:val="%6."/>
      <w:lvlJc w:val="right"/>
      <w:pPr>
        <w:ind w:left="5301" w:hanging="180"/>
      </w:pPr>
    </w:lvl>
    <w:lvl w:ilvl="6" w:tplc="0809000F" w:tentative="1">
      <w:start w:val="1"/>
      <w:numFmt w:val="decimal"/>
      <w:lvlText w:val="%7."/>
      <w:lvlJc w:val="left"/>
      <w:pPr>
        <w:ind w:left="6021" w:hanging="360"/>
      </w:pPr>
    </w:lvl>
    <w:lvl w:ilvl="7" w:tplc="08090019" w:tentative="1">
      <w:start w:val="1"/>
      <w:numFmt w:val="lowerLetter"/>
      <w:lvlText w:val="%8."/>
      <w:lvlJc w:val="left"/>
      <w:pPr>
        <w:ind w:left="6741" w:hanging="360"/>
      </w:pPr>
    </w:lvl>
    <w:lvl w:ilvl="8" w:tplc="0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>
    <w:nsid w:val="2DE5733D"/>
    <w:multiLevelType w:val="hybridMultilevel"/>
    <w:tmpl w:val="72FE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5406"/>
    <w:multiLevelType w:val="hybridMultilevel"/>
    <w:tmpl w:val="4518F4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B931ED"/>
    <w:multiLevelType w:val="hybridMultilevel"/>
    <w:tmpl w:val="273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C4C28"/>
    <w:multiLevelType w:val="hybridMultilevel"/>
    <w:tmpl w:val="C3E0210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432177"/>
    <w:multiLevelType w:val="hybridMultilevel"/>
    <w:tmpl w:val="6C08E9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3F513F67"/>
    <w:multiLevelType w:val="hybridMultilevel"/>
    <w:tmpl w:val="3E5CAD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E24961"/>
    <w:multiLevelType w:val="hybridMultilevel"/>
    <w:tmpl w:val="CFF8DEDE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B0257"/>
    <w:multiLevelType w:val="hybridMultilevel"/>
    <w:tmpl w:val="FEE8B036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47B77064"/>
    <w:multiLevelType w:val="hybridMultilevel"/>
    <w:tmpl w:val="FAF635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00428A"/>
    <w:multiLevelType w:val="hybridMultilevel"/>
    <w:tmpl w:val="CD5A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50F48"/>
    <w:multiLevelType w:val="hybridMultilevel"/>
    <w:tmpl w:val="008436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39E1D9C"/>
    <w:multiLevelType w:val="hybridMultilevel"/>
    <w:tmpl w:val="D2A49218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0038"/>
    <w:multiLevelType w:val="hybridMultilevel"/>
    <w:tmpl w:val="1C567F1E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076448"/>
    <w:multiLevelType w:val="hybridMultilevel"/>
    <w:tmpl w:val="F2BE1E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6669DD"/>
    <w:multiLevelType w:val="hybridMultilevel"/>
    <w:tmpl w:val="2938C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4DF0"/>
    <w:multiLevelType w:val="hybridMultilevel"/>
    <w:tmpl w:val="7DF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F4BD0"/>
    <w:multiLevelType w:val="hybridMultilevel"/>
    <w:tmpl w:val="520C15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54A16D6"/>
    <w:multiLevelType w:val="hybridMultilevel"/>
    <w:tmpl w:val="A2A6300A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>
    <w:nsid w:val="6A1F7188"/>
    <w:multiLevelType w:val="hybridMultilevel"/>
    <w:tmpl w:val="0AC0B4D6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5DEF"/>
    <w:multiLevelType w:val="hybridMultilevel"/>
    <w:tmpl w:val="CF404860"/>
    <w:lvl w:ilvl="0" w:tplc="3A5643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490F"/>
    <w:multiLevelType w:val="hybridMultilevel"/>
    <w:tmpl w:val="6B42545A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85464"/>
    <w:multiLevelType w:val="hybridMultilevel"/>
    <w:tmpl w:val="8A5EB036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23A6A87"/>
    <w:multiLevelType w:val="hybridMultilevel"/>
    <w:tmpl w:val="FD148C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665766"/>
    <w:multiLevelType w:val="hybridMultilevel"/>
    <w:tmpl w:val="DF10ED9C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B4866"/>
    <w:multiLevelType w:val="hybridMultilevel"/>
    <w:tmpl w:val="5CB622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2"/>
  </w:num>
  <w:num w:numId="5">
    <w:abstractNumId w:val="20"/>
  </w:num>
  <w:num w:numId="6">
    <w:abstractNumId w:val="29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26"/>
  </w:num>
  <w:num w:numId="12">
    <w:abstractNumId w:val="21"/>
  </w:num>
  <w:num w:numId="13">
    <w:abstractNumId w:val="28"/>
  </w:num>
  <w:num w:numId="14">
    <w:abstractNumId w:val="33"/>
  </w:num>
  <w:num w:numId="15">
    <w:abstractNumId w:val="18"/>
  </w:num>
  <w:num w:numId="16">
    <w:abstractNumId w:val="32"/>
  </w:num>
  <w:num w:numId="17">
    <w:abstractNumId w:val="30"/>
  </w:num>
  <w:num w:numId="18">
    <w:abstractNumId w:val="15"/>
  </w:num>
  <w:num w:numId="19">
    <w:abstractNumId w:val="23"/>
  </w:num>
  <w:num w:numId="20">
    <w:abstractNumId w:val="34"/>
  </w:num>
  <w:num w:numId="21">
    <w:abstractNumId w:val="4"/>
  </w:num>
  <w:num w:numId="22">
    <w:abstractNumId w:val="10"/>
  </w:num>
  <w:num w:numId="23">
    <w:abstractNumId w:val="14"/>
  </w:num>
  <w:num w:numId="24">
    <w:abstractNumId w:val="6"/>
  </w:num>
  <w:num w:numId="25">
    <w:abstractNumId w:val="27"/>
  </w:num>
  <w:num w:numId="26">
    <w:abstractNumId w:val="13"/>
  </w:num>
  <w:num w:numId="27">
    <w:abstractNumId w:val="31"/>
  </w:num>
  <w:num w:numId="28">
    <w:abstractNumId w:val="2"/>
  </w:num>
  <w:num w:numId="29">
    <w:abstractNumId w:val="12"/>
  </w:num>
  <w:num w:numId="30">
    <w:abstractNumId w:val="17"/>
  </w:num>
  <w:num w:numId="31">
    <w:abstractNumId w:val="3"/>
  </w:num>
  <w:num w:numId="32">
    <w:abstractNumId w:val="25"/>
  </w:num>
  <w:num w:numId="33">
    <w:abstractNumId w:val="19"/>
  </w:num>
  <w:num w:numId="34">
    <w:abstractNumId w:val="24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D"/>
    <w:rsid w:val="000030A0"/>
    <w:rsid w:val="00005681"/>
    <w:rsid w:val="00006806"/>
    <w:rsid w:val="00010E78"/>
    <w:rsid w:val="000116FF"/>
    <w:rsid w:val="000150BE"/>
    <w:rsid w:val="00020257"/>
    <w:rsid w:val="000209F8"/>
    <w:rsid w:val="000226F8"/>
    <w:rsid w:val="00022CD2"/>
    <w:rsid w:val="0003315D"/>
    <w:rsid w:val="00035147"/>
    <w:rsid w:val="000359CD"/>
    <w:rsid w:val="00035A9B"/>
    <w:rsid w:val="00035D3E"/>
    <w:rsid w:val="000372FD"/>
    <w:rsid w:val="00037810"/>
    <w:rsid w:val="00041978"/>
    <w:rsid w:val="00044EED"/>
    <w:rsid w:val="000512FC"/>
    <w:rsid w:val="00056CEC"/>
    <w:rsid w:val="00061638"/>
    <w:rsid w:val="00064401"/>
    <w:rsid w:val="000656DC"/>
    <w:rsid w:val="000667D3"/>
    <w:rsid w:val="0007119E"/>
    <w:rsid w:val="000800A8"/>
    <w:rsid w:val="000817F5"/>
    <w:rsid w:val="000824E5"/>
    <w:rsid w:val="00083C8A"/>
    <w:rsid w:val="00083E8E"/>
    <w:rsid w:val="0009116E"/>
    <w:rsid w:val="00094258"/>
    <w:rsid w:val="000943BA"/>
    <w:rsid w:val="00097027"/>
    <w:rsid w:val="000A1F5E"/>
    <w:rsid w:val="000A2EF0"/>
    <w:rsid w:val="000A470B"/>
    <w:rsid w:val="000A59AB"/>
    <w:rsid w:val="000A6248"/>
    <w:rsid w:val="000A6EFA"/>
    <w:rsid w:val="000B2944"/>
    <w:rsid w:val="000C3F41"/>
    <w:rsid w:val="000C3F42"/>
    <w:rsid w:val="000C5C80"/>
    <w:rsid w:val="000C5DA1"/>
    <w:rsid w:val="000C61B2"/>
    <w:rsid w:val="000C7E80"/>
    <w:rsid w:val="000E3982"/>
    <w:rsid w:val="000E3AD2"/>
    <w:rsid w:val="000E4872"/>
    <w:rsid w:val="000E6533"/>
    <w:rsid w:val="000F1F36"/>
    <w:rsid w:val="000F409C"/>
    <w:rsid w:val="000F4153"/>
    <w:rsid w:val="000F72BC"/>
    <w:rsid w:val="0010086E"/>
    <w:rsid w:val="00103614"/>
    <w:rsid w:val="00105B32"/>
    <w:rsid w:val="00106D28"/>
    <w:rsid w:val="001135F8"/>
    <w:rsid w:val="00114E27"/>
    <w:rsid w:val="00116A1A"/>
    <w:rsid w:val="00117CE9"/>
    <w:rsid w:val="00120434"/>
    <w:rsid w:val="00123CDC"/>
    <w:rsid w:val="00130E30"/>
    <w:rsid w:val="001312CC"/>
    <w:rsid w:val="0013217E"/>
    <w:rsid w:val="001332FB"/>
    <w:rsid w:val="00133C57"/>
    <w:rsid w:val="0013589B"/>
    <w:rsid w:val="001404F1"/>
    <w:rsid w:val="001405B4"/>
    <w:rsid w:val="0014743B"/>
    <w:rsid w:val="001511AA"/>
    <w:rsid w:val="001552B1"/>
    <w:rsid w:val="001552CD"/>
    <w:rsid w:val="00155B6E"/>
    <w:rsid w:val="00160A94"/>
    <w:rsid w:val="00161381"/>
    <w:rsid w:val="001662D8"/>
    <w:rsid w:val="00172CC0"/>
    <w:rsid w:val="00174204"/>
    <w:rsid w:val="0018188C"/>
    <w:rsid w:val="00182BE8"/>
    <w:rsid w:val="0018663D"/>
    <w:rsid w:val="001918F7"/>
    <w:rsid w:val="001955EA"/>
    <w:rsid w:val="001A0D94"/>
    <w:rsid w:val="001A38FB"/>
    <w:rsid w:val="001A59EF"/>
    <w:rsid w:val="001A7428"/>
    <w:rsid w:val="001A773F"/>
    <w:rsid w:val="001B2C67"/>
    <w:rsid w:val="001B33FC"/>
    <w:rsid w:val="001B71A6"/>
    <w:rsid w:val="001C12BA"/>
    <w:rsid w:val="001C14DE"/>
    <w:rsid w:val="001C2C32"/>
    <w:rsid w:val="001C2C5C"/>
    <w:rsid w:val="001C5873"/>
    <w:rsid w:val="001D1A03"/>
    <w:rsid w:val="001D1CE1"/>
    <w:rsid w:val="001D52EF"/>
    <w:rsid w:val="001D7CD8"/>
    <w:rsid w:val="001E7A5E"/>
    <w:rsid w:val="001F236C"/>
    <w:rsid w:val="001F3827"/>
    <w:rsid w:val="001F3FA7"/>
    <w:rsid w:val="00200CC5"/>
    <w:rsid w:val="00202FCB"/>
    <w:rsid w:val="00204166"/>
    <w:rsid w:val="002059C1"/>
    <w:rsid w:val="002067B3"/>
    <w:rsid w:val="00210798"/>
    <w:rsid w:val="00211DE3"/>
    <w:rsid w:val="00212B06"/>
    <w:rsid w:val="002168D6"/>
    <w:rsid w:val="00217B95"/>
    <w:rsid w:val="00222D83"/>
    <w:rsid w:val="00225BFE"/>
    <w:rsid w:val="00227C81"/>
    <w:rsid w:val="00231386"/>
    <w:rsid w:val="00240250"/>
    <w:rsid w:val="00240A01"/>
    <w:rsid w:val="002461BE"/>
    <w:rsid w:val="00253880"/>
    <w:rsid w:val="00260B0E"/>
    <w:rsid w:val="00263649"/>
    <w:rsid w:val="00265840"/>
    <w:rsid w:val="0026668B"/>
    <w:rsid w:val="00266C36"/>
    <w:rsid w:val="002730E7"/>
    <w:rsid w:val="00274856"/>
    <w:rsid w:val="00283734"/>
    <w:rsid w:val="002853B4"/>
    <w:rsid w:val="0028751D"/>
    <w:rsid w:val="002913F5"/>
    <w:rsid w:val="00292826"/>
    <w:rsid w:val="0029355E"/>
    <w:rsid w:val="00293CF3"/>
    <w:rsid w:val="00294C46"/>
    <w:rsid w:val="002963E4"/>
    <w:rsid w:val="002A465B"/>
    <w:rsid w:val="002A79C0"/>
    <w:rsid w:val="002B0D6C"/>
    <w:rsid w:val="002B1B9E"/>
    <w:rsid w:val="002B3272"/>
    <w:rsid w:val="002B3F3D"/>
    <w:rsid w:val="002B79FC"/>
    <w:rsid w:val="002C35AB"/>
    <w:rsid w:val="002D02EC"/>
    <w:rsid w:val="002D0CDF"/>
    <w:rsid w:val="002D3219"/>
    <w:rsid w:val="002D3856"/>
    <w:rsid w:val="002E2A7E"/>
    <w:rsid w:val="002E53AD"/>
    <w:rsid w:val="002E7245"/>
    <w:rsid w:val="002E7B2E"/>
    <w:rsid w:val="002F058F"/>
    <w:rsid w:val="002F1875"/>
    <w:rsid w:val="002F40E8"/>
    <w:rsid w:val="002F7B75"/>
    <w:rsid w:val="00301A84"/>
    <w:rsid w:val="003072AE"/>
    <w:rsid w:val="00315362"/>
    <w:rsid w:val="0032749E"/>
    <w:rsid w:val="00330299"/>
    <w:rsid w:val="00330BE7"/>
    <w:rsid w:val="00332507"/>
    <w:rsid w:val="003325B6"/>
    <w:rsid w:val="0033385A"/>
    <w:rsid w:val="0033503E"/>
    <w:rsid w:val="00335660"/>
    <w:rsid w:val="00340E16"/>
    <w:rsid w:val="003473B2"/>
    <w:rsid w:val="00347697"/>
    <w:rsid w:val="00350047"/>
    <w:rsid w:val="0035020F"/>
    <w:rsid w:val="0035126E"/>
    <w:rsid w:val="0035451F"/>
    <w:rsid w:val="00354C82"/>
    <w:rsid w:val="00356672"/>
    <w:rsid w:val="00357136"/>
    <w:rsid w:val="00362BDE"/>
    <w:rsid w:val="00372049"/>
    <w:rsid w:val="003725E4"/>
    <w:rsid w:val="0037288A"/>
    <w:rsid w:val="003741D2"/>
    <w:rsid w:val="00375905"/>
    <w:rsid w:val="00377013"/>
    <w:rsid w:val="00384F1A"/>
    <w:rsid w:val="0038713A"/>
    <w:rsid w:val="0038756A"/>
    <w:rsid w:val="00387A11"/>
    <w:rsid w:val="0039582D"/>
    <w:rsid w:val="003A197C"/>
    <w:rsid w:val="003B022E"/>
    <w:rsid w:val="003B077C"/>
    <w:rsid w:val="003B5461"/>
    <w:rsid w:val="003B5975"/>
    <w:rsid w:val="003B7B73"/>
    <w:rsid w:val="003C5909"/>
    <w:rsid w:val="003C712C"/>
    <w:rsid w:val="003D6B03"/>
    <w:rsid w:val="003D700B"/>
    <w:rsid w:val="003E1847"/>
    <w:rsid w:val="003E28CA"/>
    <w:rsid w:val="003E2F89"/>
    <w:rsid w:val="003E6245"/>
    <w:rsid w:val="003F2659"/>
    <w:rsid w:val="003F462C"/>
    <w:rsid w:val="00401946"/>
    <w:rsid w:val="00402EA9"/>
    <w:rsid w:val="004036A7"/>
    <w:rsid w:val="00411114"/>
    <w:rsid w:val="00413E26"/>
    <w:rsid w:val="00416F5F"/>
    <w:rsid w:val="00417135"/>
    <w:rsid w:val="00421CD7"/>
    <w:rsid w:val="004258ED"/>
    <w:rsid w:val="00425F2A"/>
    <w:rsid w:val="004331BA"/>
    <w:rsid w:val="004346DB"/>
    <w:rsid w:val="00435C74"/>
    <w:rsid w:val="00444E8B"/>
    <w:rsid w:val="00445174"/>
    <w:rsid w:val="004462E2"/>
    <w:rsid w:val="004463C3"/>
    <w:rsid w:val="00447196"/>
    <w:rsid w:val="004504AB"/>
    <w:rsid w:val="0045464F"/>
    <w:rsid w:val="00454796"/>
    <w:rsid w:val="004563C8"/>
    <w:rsid w:val="0045677C"/>
    <w:rsid w:val="00463DCF"/>
    <w:rsid w:val="00463E24"/>
    <w:rsid w:val="004651DF"/>
    <w:rsid w:val="00472F74"/>
    <w:rsid w:val="004735DB"/>
    <w:rsid w:val="0047431D"/>
    <w:rsid w:val="00474485"/>
    <w:rsid w:val="00474C82"/>
    <w:rsid w:val="00475F85"/>
    <w:rsid w:val="0047796B"/>
    <w:rsid w:val="004828D3"/>
    <w:rsid w:val="00486412"/>
    <w:rsid w:val="00491160"/>
    <w:rsid w:val="0049146A"/>
    <w:rsid w:val="004935F2"/>
    <w:rsid w:val="00493B65"/>
    <w:rsid w:val="00494C51"/>
    <w:rsid w:val="004A2250"/>
    <w:rsid w:val="004A2A9F"/>
    <w:rsid w:val="004A3F68"/>
    <w:rsid w:val="004A494A"/>
    <w:rsid w:val="004A5381"/>
    <w:rsid w:val="004A700B"/>
    <w:rsid w:val="004B0400"/>
    <w:rsid w:val="004B19A9"/>
    <w:rsid w:val="004B2094"/>
    <w:rsid w:val="004B2C60"/>
    <w:rsid w:val="004B3D5E"/>
    <w:rsid w:val="004B63C5"/>
    <w:rsid w:val="004B77FC"/>
    <w:rsid w:val="004C0542"/>
    <w:rsid w:val="004C0AA4"/>
    <w:rsid w:val="004C0C0E"/>
    <w:rsid w:val="004C43DE"/>
    <w:rsid w:val="004D034A"/>
    <w:rsid w:val="004D0D07"/>
    <w:rsid w:val="004D33D0"/>
    <w:rsid w:val="004D4BC9"/>
    <w:rsid w:val="004D67CD"/>
    <w:rsid w:val="004E0B74"/>
    <w:rsid w:val="004F74DE"/>
    <w:rsid w:val="004F7B45"/>
    <w:rsid w:val="005044C6"/>
    <w:rsid w:val="005064F0"/>
    <w:rsid w:val="00507029"/>
    <w:rsid w:val="005101F7"/>
    <w:rsid w:val="00514497"/>
    <w:rsid w:val="00516A5C"/>
    <w:rsid w:val="00520C82"/>
    <w:rsid w:val="00521DC4"/>
    <w:rsid w:val="00523C31"/>
    <w:rsid w:val="005266AA"/>
    <w:rsid w:val="00526E3B"/>
    <w:rsid w:val="00527607"/>
    <w:rsid w:val="00530F4A"/>
    <w:rsid w:val="005313BC"/>
    <w:rsid w:val="00531F1E"/>
    <w:rsid w:val="005323C6"/>
    <w:rsid w:val="0053306E"/>
    <w:rsid w:val="00533969"/>
    <w:rsid w:val="00533B94"/>
    <w:rsid w:val="00533FD2"/>
    <w:rsid w:val="00536C64"/>
    <w:rsid w:val="00541DC1"/>
    <w:rsid w:val="005506D6"/>
    <w:rsid w:val="00550A70"/>
    <w:rsid w:val="005510D8"/>
    <w:rsid w:val="00551191"/>
    <w:rsid w:val="00554844"/>
    <w:rsid w:val="005578C1"/>
    <w:rsid w:val="00561793"/>
    <w:rsid w:val="0056210B"/>
    <w:rsid w:val="0056251F"/>
    <w:rsid w:val="005630E7"/>
    <w:rsid w:val="005669C0"/>
    <w:rsid w:val="00567018"/>
    <w:rsid w:val="00570D05"/>
    <w:rsid w:val="00575183"/>
    <w:rsid w:val="00583B45"/>
    <w:rsid w:val="005905C2"/>
    <w:rsid w:val="005917AE"/>
    <w:rsid w:val="005925B6"/>
    <w:rsid w:val="005976C4"/>
    <w:rsid w:val="005A17F5"/>
    <w:rsid w:val="005A38B3"/>
    <w:rsid w:val="005A5B9F"/>
    <w:rsid w:val="005A664C"/>
    <w:rsid w:val="005B0232"/>
    <w:rsid w:val="005B1F5F"/>
    <w:rsid w:val="005B2AF6"/>
    <w:rsid w:val="005B360C"/>
    <w:rsid w:val="005B3C80"/>
    <w:rsid w:val="005B6F0C"/>
    <w:rsid w:val="005C4131"/>
    <w:rsid w:val="005D33C2"/>
    <w:rsid w:val="005D3F27"/>
    <w:rsid w:val="005D44A4"/>
    <w:rsid w:val="005D4C4D"/>
    <w:rsid w:val="005D546F"/>
    <w:rsid w:val="005D6148"/>
    <w:rsid w:val="005D6C51"/>
    <w:rsid w:val="005D6DCA"/>
    <w:rsid w:val="005E0A67"/>
    <w:rsid w:val="005E0B00"/>
    <w:rsid w:val="005E7711"/>
    <w:rsid w:val="005F14EF"/>
    <w:rsid w:val="005F174D"/>
    <w:rsid w:val="005F4140"/>
    <w:rsid w:val="005F7D21"/>
    <w:rsid w:val="0060084B"/>
    <w:rsid w:val="00600995"/>
    <w:rsid w:val="00601057"/>
    <w:rsid w:val="00603981"/>
    <w:rsid w:val="00603BED"/>
    <w:rsid w:val="00603E8E"/>
    <w:rsid w:val="00607866"/>
    <w:rsid w:val="0061079E"/>
    <w:rsid w:val="00612AFA"/>
    <w:rsid w:val="0061340A"/>
    <w:rsid w:val="00613D43"/>
    <w:rsid w:val="006173D8"/>
    <w:rsid w:val="00621B9B"/>
    <w:rsid w:val="006251C1"/>
    <w:rsid w:val="00630917"/>
    <w:rsid w:val="0063166B"/>
    <w:rsid w:val="00632B72"/>
    <w:rsid w:val="00635911"/>
    <w:rsid w:val="006454CD"/>
    <w:rsid w:val="0065305B"/>
    <w:rsid w:val="00654A79"/>
    <w:rsid w:val="00656E91"/>
    <w:rsid w:val="00662A0F"/>
    <w:rsid w:val="00670340"/>
    <w:rsid w:val="00675C69"/>
    <w:rsid w:val="00676008"/>
    <w:rsid w:val="00676B7F"/>
    <w:rsid w:val="00677B45"/>
    <w:rsid w:val="00682D25"/>
    <w:rsid w:val="0068485E"/>
    <w:rsid w:val="00687F6F"/>
    <w:rsid w:val="0069059C"/>
    <w:rsid w:val="00691981"/>
    <w:rsid w:val="0069250F"/>
    <w:rsid w:val="00692CAE"/>
    <w:rsid w:val="00693ED6"/>
    <w:rsid w:val="00697879"/>
    <w:rsid w:val="006A47DD"/>
    <w:rsid w:val="006A5B5A"/>
    <w:rsid w:val="006A651A"/>
    <w:rsid w:val="006A69C2"/>
    <w:rsid w:val="006B2096"/>
    <w:rsid w:val="006B32FB"/>
    <w:rsid w:val="006C24A9"/>
    <w:rsid w:val="006C7363"/>
    <w:rsid w:val="006D13DC"/>
    <w:rsid w:val="006D20BA"/>
    <w:rsid w:val="006D2DD3"/>
    <w:rsid w:val="006D645E"/>
    <w:rsid w:val="006D7D0D"/>
    <w:rsid w:val="006E1B35"/>
    <w:rsid w:val="006E1B5A"/>
    <w:rsid w:val="006E1BC3"/>
    <w:rsid w:val="006E36F3"/>
    <w:rsid w:val="006E3831"/>
    <w:rsid w:val="006E44BB"/>
    <w:rsid w:val="006E5DE8"/>
    <w:rsid w:val="006E67C4"/>
    <w:rsid w:val="006F3808"/>
    <w:rsid w:val="006F4BA2"/>
    <w:rsid w:val="006F5910"/>
    <w:rsid w:val="00701296"/>
    <w:rsid w:val="00701D7D"/>
    <w:rsid w:val="00704730"/>
    <w:rsid w:val="007053CF"/>
    <w:rsid w:val="00706224"/>
    <w:rsid w:val="00706CF4"/>
    <w:rsid w:val="007070D0"/>
    <w:rsid w:val="00710466"/>
    <w:rsid w:val="00710A17"/>
    <w:rsid w:val="007137F7"/>
    <w:rsid w:val="00714894"/>
    <w:rsid w:val="007154CE"/>
    <w:rsid w:val="0072307E"/>
    <w:rsid w:val="0072591D"/>
    <w:rsid w:val="00725F26"/>
    <w:rsid w:val="00727179"/>
    <w:rsid w:val="00727ED1"/>
    <w:rsid w:val="0073278E"/>
    <w:rsid w:val="00740F03"/>
    <w:rsid w:val="00741810"/>
    <w:rsid w:val="00741EFA"/>
    <w:rsid w:val="007427D4"/>
    <w:rsid w:val="00752C6B"/>
    <w:rsid w:val="007607D5"/>
    <w:rsid w:val="00760922"/>
    <w:rsid w:val="00764079"/>
    <w:rsid w:val="00766998"/>
    <w:rsid w:val="00767EDD"/>
    <w:rsid w:val="0077104B"/>
    <w:rsid w:val="00771F55"/>
    <w:rsid w:val="00773961"/>
    <w:rsid w:val="0077438A"/>
    <w:rsid w:val="0077440D"/>
    <w:rsid w:val="00774644"/>
    <w:rsid w:val="00775A30"/>
    <w:rsid w:val="00777F68"/>
    <w:rsid w:val="00777FC6"/>
    <w:rsid w:val="0078409C"/>
    <w:rsid w:val="007A68B2"/>
    <w:rsid w:val="007B314C"/>
    <w:rsid w:val="007B753F"/>
    <w:rsid w:val="007C1DC6"/>
    <w:rsid w:val="007C6046"/>
    <w:rsid w:val="007C63CC"/>
    <w:rsid w:val="007D13DA"/>
    <w:rsid w:val="007D331D"/>
    <w:rsid w:val="007E1B08"/>
    <w:rsid w:val="007E4211"/>
    <w:rsid w:val="007E61CA"/>
    <w:rsid w:val="007F1631"/>
    <w:rsid w:val="007F3944"/>
    <w:rsid w:val="007F5272"/>
    <w:rsid w:val="007F5BF2"/>
    <w:rsid w:val="007F6BF9"/>
    <w:rsid w:val="007F6E5E"/>
    <w:rsid w:val="007F76F2"/>
    <w:rsid w:val="0080618D"/>
    <w:rsid w:val="00811D8A"/>
    <w:rsid w:val="0081298E"/>
    <w:rsid w:val="00814BB4"/>
    <w:rsid w:val="00815488"/>
    <w:rsid w:val="00815E85"/>
    <w:rsid w:val="00821EB6"/>
    <w:rsid w:val="0082449A"/>
    <w:rsid w:val="00824A81"/>
    <w:rsid w:val="008306D4"/>
    <w:rsid w:val="008346CA"/>
    <w:rsid w:val="00834BCC"/>
    <w:rsid w:val="00835AFC"/>
    <w:rsid w:val="0083795F"/>
    <w:rsid w:val="0084035D"/>
    <w:rsid w:val="008450D2"/>
    <w:rsid w:val="008455D5"/>
    <w:rsid w:val="008468E4"/>
    <w:rsid w:val="00846DC5"/>
    <w:rsid w:val="00851BB4"/>
    <w:rsid w:val="0085475D"/>
    <w:rsid w:val="00855B96"/>
    <w:rsid w:val="00867F2F"/>
    <w:rsid w:val="00871681"/>
    <w:rsid w:val="0087523F"/>
    <w:rsid w:val="00877A3D"/>
    <w:rsid w:val="00885D91"/>
    <w:rsid w:val="008919F7"/>
    <w:rsid w:val="00891DC1"/>
    <w:rsid w:val="00895AE4"/>
    <w:rsid w:val="00896ADF"/>
    <w:rsid w:val="008979AF"/>
    <w:rsid w:val="008A4353"/>
    <w:rsid w:val="008A7BD9"/>
    <w:rsid w:val="008B286F"/>
    <w:rsid w:val="008B29A7"/>
    <w:rsid w:val="008C1A0F"/>
    <w:rsid w:val="008C1BB8"/>
    <w:rsid w:val="008C526A"/>
    <w:rsid w:val="008C5C1C"/>
    <w:rsid w:val="008C662A"/>
    <w:rsid w:val="008D3203"/>
    <w:rsid w:val="008E001F"/>
    <w:rsid w:val="008E09D0"/>
    <w:rsid w:val="008E1145"/>
    <w:rsid w:val="008E285A"/>
    <w:rsid w:val="008E5A73"/>
    <w:rsid w:val="008F289B"/>
    <w:rsid w:val="008F2A4E"/>
    <w:rsid w:val="008F4DA3"/>
    <w:rsid w:val="008F67EF"/>
    <w:rsid w:val="008F6ADE"/>
    <w:rsid w:val="008F7B19"/>
    <w:rsid w:val="00900C7F"/>
    <w:rsid w:val="00903458"/>
    <w:rsid w:val="00903C3C"/>
    <w:rsid w:val="0090420B"/>
    <w:rsid w:val="009051BE"/>
    <w:rsid w:val="00910CFB"/>
    <w:rsid w:val="0091176F"/>
    <w:rsid w:val="00912361"/>
    <w:rsid w:val="009142E5"/>
    <w:rsid w:val="00915EC3"/>
    <w:rsid w:val="009176DB"/>
    <w:rsid w:val="00922818"/>
    <w:rsid w:val="00922EBF"/>
    <w:rsid w:val="00923F39"/>
    <w:rsid w:val="00926E63"/>
    <w:rsid w:val="009277C6"/>
    <w:rsid w:val="00933738"/>
    <w:rsid w:val="0093376B"/>
    <w:rsid w:val="00934EA9"/>
    <w:rsid w:val="00935088"/>
    <w:rsid w:val="00935203"/>
    <w:rsid w:val="00936595"/>
    <w:rsid w:val="00941E4F"/>
    <w:rsid w:val="00945E7B"/>
    <w:rsid w:val="0094681D"/>
    <w:rsid w:val="0094682F"/>
    <w:rsid w:val="0094727E"/>
    <w:rsid w:val="009473F5"/>
    <w:rsid w:val="009538B4"/>
    <w:rsid w:val="0096047C"/>
    <w:rsid w:val="009620A8"/>
    <w:rsid w:val="0096633B"/>
    <w:rsid w:val="00966BBE"/>
    <w:rsid w:val="0096749E"/>
    <w:rsid w:val="00971E0D"/>
    <w:rsid w:val="009723ED"/>
    <w:rsid w:val="00972FEF"/>
    <w:rsid w:val="00975552"/>
    <w:rsid w:val="00976E30"/>
    <w:rsid w:val="0098273F"/>
    <w:rsid w:val="00986C1F"/>
    <w:rsid w:val="009878B0"/>
    <w:rsid w:val="00993A4E"/>
    <w:rsid w:val="00995E4A"/>
    <w:rsid w:val="009A2E92"/>
    <w:rsid w:val="009B17D6"/>
    <w:rsid w:val="009B2610"/>
    <w:rsid w:val="009B2ED0"/>
    <w:rsid w:val="009B3D3E"/>
    <w:rsid w:val="009B5A72"/>
    <w:rsid w:val="009C004C"/>
    <w:rsid w:val="009C4401"/>
    <w:rsid w:val="009D24DB"/>
    <w:rsid w:val="009D3912"/>
    <w:rsid w:val="009D3FFE"/>
    <w:rsid w:val="009D6722"/>
    <w:rsid w:val="009D7937"/>
    <w:rsid w:val="009E0956"/>
    <w:rsid w:val="009E0A5A"/>
    <w:rsid w:val="009E34F6"/>
    <w:rsid w:val="009E3CF2"/>
    <w:rsid w:val="009E68A1"/>
    <w:rsid w:val="009E6D5E"/>
    <w:rsid w:val="009F6875"/>
    <w:rsid w:val="009F6D40"/>
    <w:rsid w:val="00A01542"/>
    <w:rsid w:val="00A01D6B"/>
    <w:rsid w:val="00A02990"/>
    <w:rsid w:val="00A03ABB"/>
    <w:rsid w:val="00A04E24"/>
    <w:rsid w:val="00A06DE4"/>
    <w:rsid w:val="00A10B89"/>
    <w:rsid w:val="00A125AF"/>
    <w:rsid w:val="00A20074"/>
    <w:rsid w:val="00A21178"/>
    <w:rsid w:val="00A21C28"/>
    <w:rsid w:val="00A24256"/>
    <w:rsid w:val="00A27069"/>
    <w:rsid w:val="00A32774"/>
    <w:rsid w:val="00A32A7B"/>
    <w:rsid w:val="00A3538B"/>
    <w:rsid w:val="00A3600C"/>
    <w:rsid w:val="00A36D0D"/>
    <w:rsid w:val="00A4088F"/>
    <w:rsid w:val="00A40943"/>
    <w:rsid w:val="00A4396F"/>
    <w:rsid w:val="00A45D10"/>
    <w:rsid w:val="00A47CCA"/>
    <w:rsid w:val="00A50E23"/>
    <w:rsid w:val="00A51044"/>
    <w:rsid w:val="00A54119"/>
    <w:rsid w:val="00A548E1"/>
    <w:rsid w:val="00A566D4"/>
    <w:rsid w:val="00A60507"/>
    <w:rsid w:val="00A65250"/>
    <w:rsid w:val="00A747AF"/>
    <w:rsid w:val="00A7570E"/>
    <w:rsid w:val="00A75747"/>
    <w:rsid w:val="00A765CE"/>
    <w:rsid w:val="00A77C53"/>
    <w:rsid w:val="00A80CBD"/>
    <w:rsid w:val="00A8286B"/>
    <w:rsid w:val="00A840F5"/>
    <w:rsid w:val="00A87892"/>
    <w:rsid w:val="00A905DF"/>
    <w:rsid w:val="00A91CBA"/>
    <w:rsid w:val="00A97EDB"/>
    <w:rsid w:val="00AA082E"/>
    <w:rsid w:val="00AA5C80"/>
    <w:rsid w:val="00AA601A"/>
    <w:rsid w:val="00AA7C75"/>
    <w:rsid w:val="00AB1A3D"/>
    <w:rsid w:val="00AB1B1F"/>
    <w:rsid w:val="00AC4B4B"/>
    <w:rsid w:val="00AC5820"/>
    <w:rsid w:val="00AC616F"/>
    <w:rsid w:val="00AC6D86"/>
    <w:rsid w:val="00AD08CE"/>
    <w:rsid w:val="00AD0F68"/>
    <w:rsid w:val="00AD3823"/>
    <w:rsid w:val="00AD6B0C"/>
    <w:rsid w:val="00AE0538"/>
    <w:rsid w:val="00AE08A9"/>
    <w:rsid w:val="00AE12E9"/>
    <w:rsid w:val="00AE1E8F"/>
    <w:rsid w:val="00AE7A4F"/>
    <w:rsid w:val="00AF08EC"/>
    <w:rsid w:val="00AF5A15"/>
    <w:rsid w:val="00AF7455"/>
    <w:rsid w:val="00AF79B7"/>
    <w:rsid w:val="00B05FE6"/>
    <w:rsid w:val="00B10289"/>
    <w:rsid w:val="00B10960"/>
    <w:rsid w:val="00B10A93"/>
    <w:rsid w:val="00B10F8A"/>
    <w:rsid w:val="00B11021"/>
    <w:rsid w:val="00B1424E"/>
    <w:rsid w:val="00B17A5F"/>
    <w:rsid w:val="00B17BB1"/>
    <w:rsid w:val="00B227BD"/>
    <w:rsid w:val="00B23FD9"/>
    <w:rsid w:val="00B25DD0"/>
    <w:rsid w:val="00B318DD"/>
    <w:rsid w:val="00B35A8C"/>
    <w:rsid w:val="00B35F74"/>
    <w:rsid w:val="00B4694E"/>
    <w:rsid w:val="00B47371"/>
    <w:rsid w:val="00B4776F"/>
    <w:rsid w:val="00B50F81"/>
    <w:rsid w:val="00B51B7C"/>
    <w:rsid w:val="00B53055"/>
    <w:rsid w:val="00B5477F"/>
    <w:rsid w:val="00B5509D"/>
    <w:rsid w:val="00B60D6F"/>
    <w:rsid w:val="00B647CA"/>
    <w:rsid w:val="00B64C35"/>
    <w:rsid w:val="00B72E67"/>
    <w:rsid w:val="00B72FD0"/>
    <w:rsid w:val="00B73F00"/>
    <w:rsid w:val="00B7705C"/>
    <w:rsid w:val="00B77C83"/>
    <w:rsid w:val="00B80F0F"/>
    <w:rsid w:val="00B822CF"/>
    <w:rsid w:val="00B8308C"/>
    <w:rsid w:val="00B84406"/>
    <w:rsid w:val="00B8588B"/>
    <w:rsid w:val="00B86D66"/>
    <w:rsid w:val="00B876E7"/>
    <w:rsid w:val="00B92D4E"/>
    <w:rsid w:val="00B93406"/>
    <w:rsid w:val="00B949C8"/>
    <w:rsid w:val="00B94A04"/>
    <w:rsid w:val="00BA0E6F"/>
    <w:rsid w:val="00BA1074"/>
    <w:rsid w:val="00BA2E9D"/>
    <w:rsid w:val="00BA385D"/>
    <w:rsid w:val="00BA565A"/>
    <w:rsid w:val="00BB69D8"/>
    <w:rsid w:val="00BB77BA"/>
    <w:rsid w:val="00BC3C81"/>
    <w:rsid w:val="00BC4F0A"/>
    <w:rsid w:val="00BC5060"/>
    <w:rsid w:val="00BC75F6"/>
    <w:rsid w:val="00BD0C4A"/>
    <w:rsid w:val="00BD2CF5"/>
    <w:rsid w:val="00BD2F94"/>
    <w:rsid w:val="00BD3B30"/>
    <w:rsid w:val="00BD4A81"/>
    <w:rsid w:val="00BD668C"/>
    <w:rsid w:val="00BD7D8B"/>
    <w:rsid w:val="00BE03C0"/>
    <w:rsid w:val="00BE0411"/>
    <w:rsid w:val="00BE052E"/>
    <w:rsid w:val="00BE6C6D"/>
    <w:rsid w:val="00BF0264"/>
    <w:rsid w:val="00BF2C68"/>
    <w:rsid w:val="00BF345E"/>
    <w:rsid w:val="00BF5570"/>
    <w:rsid w:val="00C0207D"/>
    <w:rsid w:val="00C04168"/>
    <w:rsid w:val="00C042C7"/>
    <w:rsid w:val="00C045D2"/>
    <w:rsid w:val="00C05488"/>
    <w:rsid w:val="00C05AEE"/>
    <w:rsid w:val="00C10CA3"/>
    <w:rsid w:val="00C1367B"/>
    <w:rsid w:val="00C13FA7"/>
    <w:rsid w:val="00C16F35"/>
    <w:rsid w:val="00C170ED"/>
    <w:rsid w:val="00C21B6C"/>
    <w:rsid w:val="00C23BDA"/>
    <w:rsid w:val="00C26D2B"/>
    <w:rsid w:val="00C311F3"/>
    <w:rsid w:val="00C3282B"/>
    <w:rsid w:val="00C33552"/>
    <w:rsid w:val="00C33662"/>
    <w:rsid w:val="00C336E7"/>
    <w:rsid w:val="00C346DC"/>
    <w:rsid w:val="00C37BCB"/>
    <w:rsid w:val="00C40145"/>
    <w:rsid w:val="00C40556"/>
    <w:rsid w:val="00C44636"/>
    <w:rsid w:val="00C52909"/>
    <w:rsid w:val="00C5428A"/>
    <w:rsid w:val="00C56996"/>
    <w:rsid w:val="00C56C4C"/>
    <w:rsid w:val="00C612D6"/>
    <w:rsid w:val="00C612F5"/>
    <w:rsid w:val="00C618BF"/>
    <w:rsid w:val="00C64350"/>
    <w:rsid w:val="00C67319"/>
    <w:rsid w:val="00C709B4"/>
    <w:rsid w:val="00C73655"/>
    <w:rsid w:val="00C74E1F"/>
    <w:rsid w:val="00C75D40"/>
    <w:rsid w:val="00C769C9"/>
    <w:rsid w:val="00C8067E"/>
    <w:rsid w:val="00C8229E"/>
    <w:rsid w:val="00C83A76"/>
    <w:rsid w:val="00C83DA1"/>
    <w:rsid w:val="00C911F2"/>
    <w:rsid w:val="00C93F91"/>
    <w:rsid w:val="00C94258"/>
    <w:rsid w:val="00C9523E"/>
    <w:rsid w:val="00C95B34"/>
    <w:rsid w:val="00C95F06"/>
    <w:rsid w:val="00CA1188"/>
    <w:rsid w:val="00CA1732"/>
    <w:rsid w:val="00CA2DFA"/>
    <w:rsid w:val="00CA7E5E"/>
    <w:rsid w:val="00CB09C1"/>
    <w:rsid w:val="00CB0A60"/>
    <w:rsid w:val="00CB1A6F"/>
    <w:rsid w:val="00CB1DA6"/>
    <w:rsid w:val="00CB5086"/>
    <w:rsid w:val="00CB5642"/>
    <w:rsid w:val="00CB6B73"/>
    <w:rsid w:val="00CC1BAC"/>
    <w:rsid w:val="00CC2F8A"/>
    <w:rsid w:val="00CC37F9"/>
    <w:rsid w:val="00CC3908"/>
    <w:rsid w:val="00CC5782"/>
    <w:rsid w:val="00CC6318"/>
    <w:rsid w:val="00CD0532"/>
    <w:rsid w:val="00CD3C50"/>
    <w:rsid w:val="00CD4C5D"/>
    <w:rsid w:val="00CD51DA"/>
    <w:rsid w:val="00CE3DFC"/>
    <w:rsid w:val="00CE493A"/>
    <w:rsid w:val="00CE5596"/>
    <w:rsid w:val="00CF6B23"/>
    <w:rsid w:val="00CF6FA6"/>
    <w:rsid w:val="00D07007"/>
    <w:rsid w:val="00D1078F"/>
    <w:rsid w:val="00D23339"/>
    <w:rsid w:val="00D24E43"/>
    <w:rsid w:val="00D30906"/>
    <w:rsid w:val="00D3115F"/>
    <w:rsid w:val="00D324EB"/>
    <w:rsid w:val="00D327A9"/>
    <w:rsid w:val="00D3500F"/>
    <w:rsid w:val="00D407AF"/>
    <w:rsid w:val="00D424B6"/>
    <w:rsid w:val="00D44004"/>
    <w:rsid w:val="00D46E89"/>
    <w:rsid w:val="00D5019E"/>
    <w:rsid w:val="00D52515"/>
    <w:rsid w:val="00D52D74"/>
    <w:rsid w:val="00D54FA9"/>
    <w:rsid w:val="00D555A4"/>
    <w:rsid w:val="00D55B7F"/>
    <w:rsid w:val="00D60224"/>
    <w:rsid w:val="00D73706"/>
    <w:rsid w:val="00D74C9D"/>
    <w:rsid w:val="00D75E4E"/>
    <w:rsid w:val="00D84446"/>
    <w:rsid w:val="00D90D6C"/>
    <w:rsid w:val="00DA0D01"/>
    <w:rsid w:val="00DA2561"/>
    <w:rsid w:val="00DA67C6"/>
    <w:rsid w:val="00DA7454"/>
    <w:rsid w:val="00DB3198"/>
    <w:rsid w:val="00DB47F9"/>
    <w:rsid w:val="00DB6773"/>
    <w:rsid w:val="00DC1D23"/>
    <w:rsid w:val="00DC4CD4"/>
    <w:rsid w:val="00DC7F06"/>
    <w:rsid w:val="00DD2A1D"/>
    <w:rsid w:val="00DD64C0"/>
    <w:rsid w:val="00DD7187"/>
    <w:rsid w:val="00DE11B2"/>
    <w:rsid w:val="00DE43A1"/>
    <w:rsid w:val="00DE45FB"/>
    <w:rsid w:val="00DE5CF6"/>
    <w:rsid w:val="00DE6018"/>
    <w:rsid w:val="00DE6771"/>
    <w:rsid w:val="00DF0561"/>
    <w:rsid w:val="00DF0BD7"/>
    <w:rsid w:val="00DF2670"/>
    <w:rsid w:val="00DF2BEC"/>
    <w:rsid w:val="00DF72E5"/>
    <w:rsid w:val="00DF735B"/>
    <w:rsid w:val="00E03E41"/>
    <w:rsid w:val="00E04FE9"/>
    <w:rsid w:val="00E14CF2"/>
    <w:rsid w:val="00E2009E"/>
    <w:rsid w:val="00E21168"/>
    <w:rsid w:val="00E21EE8"/>
    <w:rsid w:val="00E23A99"/>
    <w:rsid w:val="00E25EA4"/>
    <w:rsid w:val="00E26FB2"/>
    <w:rsid w:val="00E273E7"/>
    <w:rsid w:val="00E30012"/>
    <w:rsid w:val="00E30D73"/>
    <w:rsid w:val="00E32A3E"/>
    <w:rsid w:val="00E34CB9"/>
    <w:rsid w:val="00E355D8"/>
    <w:rsid w:val="00E36648"/>
    <w:rsid w:val="00E3691F"/>
    <w:rsid w:val="00E406B1"/>
    <w:rsid w:val="00E44776"/>
    <w:rsid w:val="00E44D19"/>
    <w:rsid w:val="00E519E0"/>
    <w:rsid w:val="00E542C4"/>
    <w:rsid w:val="00E60CE2"/>
    <w:rsid w:val="00E60EA3"/>
    <w:rsid w:val="00E61305"/>
    <w:rsid w:val="00E620C7"/>
    <w:rsid w:val="00E6586A"/>
    <w:rsid w:val="00E721E2"/>
    <w:rsid w:val="00E73998"/>
    <w:rsid w:val="00E863EB"/>
    <w:rsid w:val="00E87925"/>
    <w:rsid w:val="00E9419C"/>
    <w:rsid w:val="00E9623A"/>
    <w:rsid w:val="00EA0274"/>
    <w:rsid w:val="00EA0E2B"/>
    <w:rsid w:val="00EA0EF8"/>
    <w:rsid w:val="00EA4D64"/>
    <w:rsid w:val="00EA62A2"/>
    <w:rsid w:val="00EA6F85"/>
    <w:rsid w:val="00EB300C"/>
    <w:rsid w:val="00EB33C6"/>
    <w:rsid w:val="00EB5CBE"/>
    <w:rsid w:val="00EB5F90"/>
    <w:rsid w:val="00EB691B"/>
    <w:rsid w:val="00EB7189"/>
    <w:rsid w:val="00EC1C61"/>
    <w:rsid w:val="00EC4BF0"/>
    <w:rsid w:val="00EC4C3C"/>
    <w:rsid w:val="00EC4CED"/>
    <w:rsid w:val="00EC5640"/>
    <w:rsid w:val="00EC68ED"/>
    <w:rsid w:val="00ED0EEB"/>
    <w:rsid w:val="00ED14DF"/>
    <w:rsid w:val="00ED2E19"/>
    <w:rsid w:val="00ED3617"/>
    <w:rsid w:val="00ED3C21"/>
    <w:rsid w:val="00ED3D3D"/>
    <w:rsid w:val="00ED50C4"/>
    <w:rsid w:val="00ED6660"/>
    <w:rsid w:val="00ED7504"/>
    <w:rsid w:val="00ED7D23"/>
    <w:rsid w:val="00EE5600"/>
    <w:rsid w:val="00EE693B"/>
    <w:rsid w:val="00EF0FA5"/>
    <w:rsid w:val="00EF18E8"/>
    <w:rsid w:val="00EF1FDC"/>
    <w:rsid w:val="00EF7125"/>
    <w:rsid w:val="00F001E4"/>
    <w:rsid w:val="00F02608"/>
    <w:rsid w:val="00F0304D"/>
    <w:rsid w:val="00F05410"/>
    <w:rsid w:val="00F0793A"/>
    <w:rsid w:val="00F125B0"/>
    <w:rsid w:val="00F24A83"/>
    <w:rsid w:val="00F260C7"/>
    <w:rsid w:val="00F2779C"/>
    <w:rsid w:val="00F27F1A"/>
    <w:rsid w:val="00F3018B"/>
    <w:rsid w:val="00F3031D"/>
    <w:rsid w:val="00F31074"/>
    <w:rsid w:val="00F41061"/>
    <w:rsid w:val="00F42C47"/>
    <w:rsid w:val="00F5421F"/>
    <w:rsid w:val="00F54C77"/>
    <w:rsid w:val="00F65931"/>
    <w:rsid w:val="00F65A44"/>
    <w:rsid w:val="00F66A15"/>
    <w:rsid w:val="00F67BAC"/>
    <w:rsid w:val="00F745A2"/>
    <w:rsid w:val="00F74CCF"/>
    <w:rsid w:val="00F7569D"/>
    <w:rsid w:val="00F75F74"/>
    <w:rsid w:val="00F76581"/>
    <w:rsid w:val="00F860AC"/>
    <w:rsid w:val="00F920EE"/>
    <w:rsid w:val="00F932C4"/>
    <w:rsid w:val="00F93E02"/>
    <w:rsid w:val="00FA0170"/>
    <w:rsid w:val="00FA1CB7"/>
    <w:rsid w:val="00FA5461"/>
    <w:rsid w:val="00FA5881"/>
    <w:rsid w:val="00FB0EA2"/>
    <w:rsid w:val="00FB17C4"/>
    <w:rsid w:val="00FB20D0"/>
    <w:rsid w:val="00FB743D"/>
    <w:rsid w:val="00FB7C22"/>
    <w:rsid w:val="00FC10A9"/>
    <w:rsid w:val="00FC454E"/>
    <w:rsid w:val="00FC4E1A"/>
    <w:rsid w:val="00FC5E67"/>
    <w:rsid w:val="00FD54EE"/>
    <w:rsid w:val="00FD555E"/>
    <w:rsid w:val="00FE1DBF"/>
    <w:rsid w:val="00FE49DE"/>
    <w:rsid w:val="00FE49E4"/>
    <w:rsid w:val="00FE561E"/>
    <w:rsid w:val="00FF128D"/>
    <w:rsid w:val="00FF187D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9A12-A4B0-4367-9647-CCC108F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F781539F</Template>
  <TotalTime>178</TotalTime>
  <Pages>5</Pages>
  <Words>1171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OCC</Company>
  <LinksUpToDate>false</LinksUpToDate>
  <CharactersWithSpaces>7214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mailto:nkennedy@oxford.gov.uk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nkennedy</dc:creator>
  <cp:lastModifiedBy>anash</cp:lastModifiedBy>
  <cp:revision>7</cp:revision>
  <cp:lastPrinted>2017-02-20T09:01:00Z</cp:lastPrinted>
  <dcterms:created xsi:type="dcterms:W3CDTF">2017-02-20T08:50:00Z</dcterms:created>
  <dcterms:modified xsi:type="dcterms:W3CDTF">2017-02-20T15:59:00Z</dcterms:modified>
</cp:coreProperties>
</file>